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EDB" w:rsidRPr="00D05EDB" w:rsidRDefault="00D05EDB" w:rsidP="00D05E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D05ED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IFRS 9 Model Development Document (MDD)</w:t>
      </w:r>
    </w:p>
    <w:p w:rsidR="00D05EDB" w:rsidRPr="00D05EDB" w:rsidRDefault="00D05EDB" w:rsidP="00D05ED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5EDB">
        <w:rPr>
          <w:rFonts w:ascii="Times New Roman" w:eastAsia="Times New Roman" w:hAnsi="Times New Roman" w:cs="Times New Roman"/>
          <w:b/>
          <w:bCs/>
          <w:sz w:val="36"/>
          <w:szCs w:val="36"/>
        </w:rPr>
        <w:t>Integrated IFRS 9 ECL Framework</w:t>
      </w:r>
    </w:p>
    <w:p w:rsidR="00D05EDB" w:rsidRPr="00D05EDB" w:rsidRDefault="00D05EDB" w:rsidP="00D05ED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EDB">
        <w:rPr>
          <w:rFonts w:ascii="Times New Roman" w:eastAsia="Times New Roman" w:hAnsi="Times New Roman" w:cs="Times New Roman"/>
          <w:b/>
          <w:bCs/>
          <w:sz w:val="27"/>
          <w:szCs w:val="27"/>
        </w:rPr>
        <w:t>PD · LGD · EAD · Stage 1/2/3 · Validation · Monitoring · Governance</w:t>
      </w:r>
    </w:p>
    <w:p w:rsidR="008D676D" w:rsidRPr="008D676D" w:rsidRDefault="008D676D" w:rsidP="008D676D">
      <w:pPr>
        <w:pStyle w:val="Heading1"/>
        <w:rPr>
          <w:sz w:val="32"/>
          <w:szCs w:val="32"/>
        </w:rPr>
      </w:pPr>
      <w:r w:rsidRPr="008D676D">
        <w:rPr>
          <w:sz w:val="32"/>
          <w:szCs w:val="32"/>
        </w:rPr>
        <w:t>1. Document Purpose</w:t>
      </w:r>
    </w:p>
    <w:p w:rsidR="008D676D" w:rsidRDefault="008D676D" w:rsidP="008D676D">
      <w:pPr>
        <w:pStyle w:val="NormalWeb"/>
      </w:pPr>
      <w:r>
        <w:t>This document describes the development methodology, implementation framework, validation approach, and governance controls for the IFRS 9 Expected Credit Loss (ECL) framework developed as part of the integrated credit risk modeling and model risk management project.</w:t>
      </w:r>
    </w:p>
    <w:p w:rsidR="008D676D" w:rsidRDefault="008D676D" w:rsidP="008D676D">
      <w:pPr>
        <w:pStyle w:val="NormalWeb"/>
      </w:pPr>
      <w:r>
        <w:t xml:space="preserve">The framework extends the existing Basel III-aligned Probability of Default (PD), Loss Given Default (LGD), and Exposure at Default (EAD) models into an IFRS 9 / </w:t>
      </w:r>
      <w:proofErr w:type="spellStart"/>
      <w:r>
        <w:t>Ind</w:t>
      </w:r>
      <w:proofErr w:type="spellEnd"/>
      <w:r>
        <w:t xml:space="preserve"> AS 109 compliant Expected Credit Loss architecture supporting:</w:t>
      </w:r>
    </w:p>
    <w:p w:rsidR="008D676D" w:rsidRDefault="008D676D" w:rsidP="008D67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Stage 1 / Stage 2 / Stage 3 classification </w:t>
      </w:r>
    </w:p>
    <w:p w:rsidR="008D676D" w:rsidRDefault="008D676D" w:rsidP="008D67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12-month and Lifetime ECL estimation </w:t>
      </w:r>
    </w:p>
    <w:p w:rsidR="008D676D" w:rsidRDefault="008D676D" w:rsidP="008D67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Forward-looking credit deterioration assessment </w:t>
      </w:r>
    </w:p>
    <w:p w:rsidR="008D676D" w:rsidRDefault="008D676D" w:rsidP="008D67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Monitoring and drift analysis </w:t>
      </w:r>
    </w:p>
    <w:p w:rsidR="008D676D" w:rsidRDefault="008D676D" w:rsidP="008D676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Validation and governance workflows</w:t>
      </w:r>
    </w:p>
    <w:p w:rsidR="008D676D" w:rsidRPr="008D676D" w:rsidRDefault="008D676D" w:rsidP="008D676D">
      <w:pPr>
        <w:pStyle w:val="Heading1"/>
        <w:rPr>
          <w:sz w:val="32"/>
          <w:szCs w:val="32"/>
        </w:rPr>
      </w:pPr>
      <w:r w:rsidRPr="008D676D">
        <w:rPr>
          <w:sz w:val="32"/>
          <w:szCs w:val="32"/>
        </w:rPr>
        <w:t>2. Regulatory Context</w:t>
      </w:r>
    </w:p>
    <w:tbl>
      <w:tblPr>
        <w:tblStyle w:val="TableGrid"/>
        <w:tblW w:w="8161" w:type="dxa"/>
        <w:tblLook w:val="04A0" w:firstRow="1" w:lastRow="0" w:firstColumn="1" w:lastColumn="0" w:noHBand="0" w:noVBand="1"/>
      </w:tblPr>
      <w:tblGrid>
        <w:gridCol w:w="2505"/>
        <w:gridCol w:w="5656"/>
      </w:tblGrid>
      <w:tr w:rsidR="008D676D" w:rsidTr="008D676D">
        <w:trPr>
          <w:trHeight w:val="307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D676D" w:rsidTr="008D676D">
        <w:trPr>
          <w:trHeight w:val="294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Basel III IRB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Regulatory capital estimation using PD/LGD/EAD</w:t>
            </w:r>
          </w:p>
        </w:tc>
      </w:tr>
      <w:tr w:rsidR="008D676D" w:rsidTr="008D676D">
        <w:trPr>
          <w:trHeight w:val="294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 xml:space="preserve">IFRS 9 / </w:t>
            </w:r>
            <w:proofErr w:type="spellStart"/>
            <w:r>
              <w:t>Ind</w:t>
            </w:r>
            <w:proofErr w:type="spellEnd"/>
            <w:r>
              <w:t xml:space="preserve"> AS 109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Accounting provisioning using Expected Credit Loss</w:t>
            </w:r>
          </w:p>
        </w:tc>
      </w:tr>
      <w:tr w:rsidR="008D676D" w:rsidTr="008D676D">
        <w:trPr>
          <w:trHeight w:val="294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SR 11-7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Model risk governance, validation, monitoring</w:t>
            </w:r>
          </w:p>
        </w:tc>
      </w:tr>
      <w:tr w:rsidR="008D676D" w:rsidTr="008D676D">
        <w:trPr>
          <w:trHeight w:val="307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 xml:space="preserve">RBI </w:t>
            </w:r>
            <w:proofErr w:type="spellStart"/>
            <w:r>
              <w:t>Ind</w:t>
            </w:r>
            <w:proofErr w:type="spellEnd"/>
            <w:r>
              <w:t xml:space="preserve"> AS Guidelines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Indian banking IFRS9 implementation expectations</w:t>
            </w:r>
          </w:p>
        </w:tc>
      </w:tr>
    </w:tbl>
    <w:p w:rsidR="00B94511" w:rsidRDefault="00B94511"/>
    <w:p w:rsidR="008D676D" w:rsidRPr="008D676D" w:rsidRDefault="008D676D" w:rsidP="008D6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8D676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Business Objective</w:t>
      </w:r>
    </w:p>
    <w:p w:rsidR="008D676D" w:rsidRPr="008D676D" w:rsidRDefault="008D676D" w:rsidP="008D6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>The objective of the framework is to estimate expected credit losses across a retail unsecured lending portfolio using borrower-level risk characteristics, behavioral indicators, and exposure metrics.</w:t>
      </w:r>
    </w:p>
    <w:p w:rsidR="008D676D" w:rsidRPr="008D676D" w:rsidRDefault="008D676D" w:rsidP="008D6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>The framework aims to: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 xml:space="preserve">Estimate borrower default probability 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 xml:space="preserve">Estimate expected recovery severity 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 xml:space="preserve">Estimate exposure at default 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 xml:space="preserve">Calculate 12-month and lifetime ECL 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 significant increase in credit risk (SICR) </w:t>
      </w:r>
    </w:p>
    <w:p w:rsidR="008D676D" w:rsidRPr="008D676D" w:rsidRDefault="008D676D" w:rsidP="008D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76D">
        <w:rPr>
          <w:rFonts w:ascii="Times New Roman" w:eastAsia="Times New Roman" w:hAnsi="Times New Roman" w:cs="Times New Roman"/>
          <w:sz w:val="24"/>
          <w:szCs w:val="24"/>
        </w:rPr>
        <w:t>Support governance-oriented monitoring and validation</w:t>
      </w:r>
    </w:p>
    <w:p w:rsidR="008D676D" w:rsidRPr="008D676D" w:rsidRDefault="008D676D" w:rsidP="008D676D">
      <w:pPr>
        <w:pStyle w:val="Heading1"/>
        <w:rPr>
          <w:sz w:val="32"/>
          <w:szCs w:val="32"/>
        </w:rPr>
      </w:pPr>
      <w:r w:rsidRPr="008D676D">
        <w:rPr>
          <w:sz w:val="32"/>
          <w:szCs w:val="32"/>
        </w:rPr>
        <w:t>4. Portfolio Description</w:t>
      </w:r>
    </w:p>
    <w:tbl>
      <w:tblPr>
        <w:tblStyle w:val="TableGrid"/>
        <w:tblW w:w="7380" w:type="dxa"/>
        <w:tblLook w:val="04A0" w:firstRow="1" w:lastRow="0" w:firstColumn="1" w:lastColumn="0" w:noHBand="0" w:noVBand="1"/>
      </w:tblPr>
      <w:tblGrid>
        <w:gridCol w:w="2431"/>
        <w:gridCol w:w="4949"/>
      </w:tblGrid>
      <w:tr w:rsidR="008D676D" w:rsidTr="008D676D">
        <w:trPr>
          <w:trHeight w:val="271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D676D" w:rsidTr="008D676D">
        <w:trPr>
          <w:trHeight w:val="283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Portfolio Type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Retail unsecured consumer lending</w:t>
            </w:r>
          </w:p>
        </w:tc>
      </w:tr>
      <w:tr w:rsidR="008D676D" w:rsidTr="008D676D">
        <w:trPr>
          <w:trHeight w:val="271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Product Style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Personal loan style exposures</w:t>
            </w:r>
          </w:p>
        </w:tc>
      </w:tr>
      <w:tr w:rsidR="008D676D" w:rsidTr="008D676D">
        <w:trPr>
          <w:trHeight w:val="271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Modeling Scope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PD, LGD, EAD, ECL</w:t>
            </w:r>
          </w:p>
        </w:tc>
      </w:tr>
      <w:tr w:rsidR="008D676D" w:rsidTr="008D676D">
        <w:trPr>
          <w:trHeight w:val="271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Risk Horizon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12-month and lifetime</w:t>
            </w:r>
          </w:p>
        </w:tc>
      </w:tr>
      <w:tr w:rsidR="008D676D" w:rsidTr="008D676D">
        <w:trPr>
          <w:trHeight w:val="283"/>
        </w:trPr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Borrower Type</w:t>
            </w:r>
          </w:p>
        </w:tc>
        <w:tc>
          <w:tcPr>
            <w:tcW w:w="0" w:type="auto"/>
            <w:hideMark/>
          </w:tcPr>
          <w:p w:rsidR="008D676D" w:rsidRDefault="008D676D" w:rsidP="008D676D">
            <w:pPr>
              <w:jc w:val="center"/>
              <w:rPr>
                <w:sz w:val="24"/>
                <w:szCs w:val="24"/>
              </w:rPr>
            </w:pPr>
            <w:r>
              <w:t>Individual retail borrowers</w:t>
            </w:r>
          </w:p>
        </w:tc>
      </w:tr>
    </w:tbl>
    <w:p w:rsidR="008D676D" w:rsidRPr="002A14C9" w:rsidRDefault="008D676D" w:rsidP="008D676D">
      <w:pPr>
        <w:pStyle w:val="Heading1"/>
        <w:rPr>
          <w:sz w:val="32"/>
          <w:szCs w:val="32"/>
        </w:rPr>
      </w:pPr>
      <w:r w:rsidRPr="002A14C9">
        <w:rPr>
          <w:sz w:val="32"/>
          <w:szCs w:val="32"/>
        </w:rPr>
        <w:t>5. IFRS 9 Framework Overview</w:t>
      </w:r>
    </w:p>
    <w:p w:rsidR="008D676D" w:rsidRDefault="008D676D" w:rsidP="008D676D">
      <w:pPr>
        <w:pStyle w:val="NormalWeb"/>
      </w:pPr>
      <w:r>
        <w:t>Under IFRS 9, financial assets are classified into three stages based on deterioration in credit quality.</w:t>
      </w:r>
    </w:p>
    <w:tbl>
      <w:tblPr>
        <w:tblStyle w:val="TableGrid"/>
        <w:tblW w:w="10527" w:type="dxa"/>
        <w:tblLook w:val="04A0" w:firstRow="1" w:lastRow="0" w:firstColumn="1" w:lastColumn="0" w:noHBand="0" w:noVBand="1"/>
      </w:tblPr>
      <w:tblGrid>
        <w:gridCol w:w="3509"/>
        <w:gridCol w:w="3509"/>
        <w:gridCol w:w="3509"/>
      </w:tblGrid>
      <w:tr w:rsidR="00AD6509" w:rsidRPr="00AD6509" w:rsidTr="00AD6509">
        <w:trPr>
          <w:trHeight w:val="273"/>
        </w:trPr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Stage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Description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ECL Requirement</w:t>
            </w:r>
          </w:p>
        </w:tc>
      </w:tr>
      <w:tr w:rsidR="00AD6509" w:rsidRPr="00AD6509" w:rsidTr="00AD6509">
        <w:trPr>
          <w:trHeight w:val="261"/>
        </w:trPr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Stage 1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Performing assets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12-month ECL</w:t>
            </w:r>
          </w:p>
        </w:tc>
      </w:tr>
      <w:tr w:rsidR="00AD6509" w:rsidRPr="00AD6509" w:rsidTr="00AD6509">
        <w:trPr>
          <w:trHeight w:val="547"/>
        </w:trPr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Stage 2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Significant increase in credit risk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Lifetime ECL</w:t>
            </w:r>
          </w:p>
        </w:tc>
      </w:tr>
      <w:tr w:rsidR="00AD6509" w:rsidRPr="00AD6509" w:rsidTr="00AD6509">
        <w:trPr>
          <w:trHeight w:val="559"/>
        </w:trPr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Stage 3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Credit-impaired/defaulted assets</w:t>
            </w:r>
          </w:p>
        </w:tc>
        <w:tc>
          <w:tcPr>
            <w:tcW w:w="3509" w:type="dxa"/>
          </w:tcPr>
          <w:p w:rsidR="00AD6509" w:rsidRPr="00AD6509" w:rsidRDefault="00AD6509" w:rsidP="00AD6509">
            <w:pPr>
              <w:pStyle w:val="NormalWeb"/>
              <w:jc w:val="center"/>
            </w:pPr>
            <w:r w:rsidRPr="00AD6509">
              <w:t>Lifetime ECL</w:t>
            </w:r>
          </w:p>
        </w:tc>
      </w:tr>
    </w:tbl>
    <w:p w:rsidR="008D676D" w:rsidRDefault="008D676D" w:rsidP="00AD6509"/>
    <w:p w:rsidR="00F034B0" w:rsidRPr="00A8454E" w:rsidRDefault="00F034B0" w:rsidP="00F034B0">
      <w:pPr>
        <w:pStyle w:val="Heading1"/>
        <w:rPr>
          <w:sz w:val="32"/>
          <w:szCs w:val="32"/>
        </w:rPr>
      </w:pPr>
      <w:r w:rsidRPr="00A8454E">
        <w:rPr>
          <w:sz w:val="32"/>
          <w:szCs w:val="32"/>
        </w:rPr>
        <w:t>6. ECL Methodology</w:t>
      </w:r>
    </w:p>
    <w:p w:rsidR="00F034B0" w:rsidRDefault="00F034B0" w:rsidP="00F034B0">
      <w:pPr>
        <w:pStyle w:val="NormalWeb"/>
      </w:pPr>
      <w:r>
        <w:t>Expected Credit Loss is calculated as:</w:t>
      </w:r>
    </w:p>
    <w:p w:rsidR="00F034B0" w:rsidRDefault="00F034B0" w:rsidP="00F034B0">
      <w:pPr>
        <w:pStyle w:val="NormalWeb"/>
      </w:pPr>
      <w:r>
        <w:rPr>
          <w:rStyle w:val="katex-mathml"/>
        </w:rPr>
        <w:t>ECL=</w:t>
      </w:r>
      <w:r>
        <w:rPr>
          <w:rStyle w:val="mord"/>
        </w:rPr>
        <w:t>PD</w:t>
      </w:r>
      <w:r>
        <w:rPr>
          <w:rStyle w:val="mbin"/>
        </w:rPr>
        <w:t>×</w:t>
      </w:r>
      <w:r>
        <w:rPr>
          <w:rStyle w:val="mord"/>
        </w:rPr>
        <w:t>LGD</w:t>
      </w:r>
      <w:r>
        <w:rPr>
          <w:rStyle w:val="mbin"/>
        </w:rPr>
        <w:t>×</w:t>
      </w:r>
      <w:r>
        <w:rPr>
          <w:rStyle w:val="mord"/>
        </w:rPr>
        <w:t>EAD</w:t>
      </w:r>
    </w:p>
    <w:p w:rsidR="00F034B0" w:rsidRDefault="00F034B0" w:rsidP="00F034B0">
      <w:pPr>
        <w:pStyle w:val="NormalWeb"/>
      </w:pPr>
      <w:r>
        <w:t>Where:</w:t>
      </w:r>
    </w:p>
    <w:tbl>
      <w:tblPr>
        <w:tblStyle w:val="TableGrid"/>
        <w:tblW w:w="5761" w:type="dxa"/>
        <w:tblLook w:val="04A0" w:firstRow="1" w:lastRow="0" w:firstColumn="1" w:lastColumn="0" w:noHBand="0" w:noVBand="1"/>
      </w:tblPr>
      <w:tblGrid>
        <w:gridCol w:w="2177"/>
        <w:gridCol w:w="3584"/>
      </w:tblGrid>
      <w:tr w:rsidR="00F034B0" w:rsidTr="00A8454E">
        <w:trPr>
          <w:trHeight w:val="386"/>
        </w:trPr>
        <w:tc>
          <w:tcPr>
            <w:tcW w:w="0" w:type="auto"/>
            <w:hideMark/>
          </w:tcPr>
          <w:p w:rsidR="00F034B0" w:rsidRDefault="00F034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F034B0" w:rsidRDefault="00F034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034B0" w:rsidTr="00A8454E">
        <w:trPr>
          <w:trHeight w:val="369"/>
        </w:trPr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PD</w:t>
            </w:r>
          </w:p>
        </w:tc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Probability of Default</w:t>
            </w:r>
          </w:p>
        </w:tc>
      </w:tr>
      <w:tr w:rsidR="00F034B0" w:rsidTr="00A8454E">
        <w:trPr>
          <w:trHeight w:val="369"/>
        </w:trPr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LGD</w:t>
            </w:r>
          </w:p>
        </w:tc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Loss Given Default</w:t>
            </w:r>
          </w:p>
        </w:tc>
      </w:tr>
      <w:tr w:rsidR="00F034B0" w:rsidTr="00A8454E">
        <w:trPr>
          <w:trHeight w:val="386"/>
        </w:trPr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EAD</w:t>
            </w:r>
          </w:p>
        </w:tc>
        <w:tc>
          <w:tcPr>
            <w:tcW w:w="0" w:type="auto"/>
            <w:hideMark/>
          </w:tcPr>
          <w:p w:rsidR="00F034B0" w:rsidRDefault="00F034B0">
            <w:pPr>
              <w:rPr>
                <w:sz w:val="24"/>
                <w:szCs w:val="24"/>
              </w:rPr>
            </w:pPr>
            <w:r>
              <w:t>Exposure at Default</w:t>
            </w:r>
          </w:p>
        </w:tc>
      </w:tr>
    </w:tbl>
    <w:p w:rsidR="004301A0" w:rsidRDefault="004301A0" w:rsidP="00430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4301A0" w:rsidRDefault="004301A0" w:rsidP="00430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4301A0" w:rsidRPr="004301A0" w:rsidRDefault="004301A0" w:rsidP="004301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301A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7. Stage Classification Methodology</w:t>
      </w:r>
    </w:p>
    <w:p w:rsidR="004301A0" w:rsidRPr="004301A0" w:rsidRDefault="004301A0" w:rsidP="0043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01A0">
        <w:rPr>
          <w:rFonts w:ascii="Times New Roman" w:eastAsia="Times New Roman" w:hAnsi="Times New Roman" w:cs="Times New Roman"/>
          <w:b/>
          <w:bCs/>
          <w:sz w:val="28"/>
          <w:szCs w:val="28"/>
        </w:rPr>
        <w:t>Stage 1</w:t>
      </w: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01A0">
        <w:rPr>
          <w:rFonts w:ascii="Times New Roman" w:eastAsia="Times New Roman" w:hAnsi="Times New Roman" w:cs="Times New Roman"/>
          <w:sz w:val="24"/>
          <w:szCs w:val="24"/>
        </w:rPr>
        <w:t>Accounts with no material deterioration in credit quality.</w:t>
      </w:r>
      <w:proofErr w:type="gramEnd"/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4301A0" w:rsidRPr="004301A0" w:rsidRDefault="004301A0" w:rsidP="0043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Low delinquency </w:t>
      </w:r>
    </w:p>
    <w:p w:rsidR="004301A0" w:rsidRPr="004301A0" w:rsidRDefault="004301A0" w:rsidP="0043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Stable repayment behavior </w:t>
      </w:r>
    </w:p>
    <w:p w:rsidR="004301A0" w:rsidRPr="004301A0" w:rsidRDefault="004301A0" w:rsidP="004301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12-month ECL applied</w:t>
      </w:r>
    </w:p>
    <w:p w:rsidR="004301A0" w:rsidRPr="004301A0" w:rsidRDefault="004301A0" w:rsidP="0043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01A0">
        <w:rPr>
          <w:rFonts w:ascii="Times New Roman" w:eastAsia="Times New Roman" w:hAnsi="Times New Roman" w:cs="Times New Roman"/>
          <w:b/>
          <w:bCs/>
          <w:sz w:val="28"/>
          <w:szCs w:val="28"/>
        </w:rPr>
        <w:t>Stage 2</w:t>
      </w: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Accounts with significant increase in credit risk (SICR).</w:t>
      </w: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Indicators:</w:t>
      </w:r>
    </w:p>
    <w:p w:rsidR="004301A0" w:rsidRPr="004301A0" w:rsidRDefault="004301A0" w:rsidP="0043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Elevated delinquency </w:t>
      </w:r>
    </w:p>
    <w:p w:rsidR="004301A0" w:rsidRPr="004301A0" w:rsidRDefault="004301A0" w:rsidP="0043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Risk deterioration </w:t>
      </w:r>
    </w:p>
    <w:p w:rsidR="004301A0" w:rsidRPr="004301A0" w:rsidRDefault="004301A0" w:rsidP="0043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Behavioral weakening </w:t>
      </w:r>
    </w:p>
    <w:p w:rsidR="004301A0" w:rsidRDefault="004301A0" w:rsidP="00430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Lifetime ECL applied </w:t>
      </w:r>
    </w:p>
    <w:p w:rsidR="004301A0" w:rsidRPr="004301A0" w:rsidRDefault="004301A0" w:rsidP="004301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01A0">
        <w:rPr>
          <w:rFonts w:ascii="Times New Roman" w:eastAsia="Times New Roman" w:hAnsi="Times New Roman" w:cs="Times New Roman"/>
          <w:b/>
          <w:bCs/>
          <w:sz w:val="28"/>
          <w:szCs w:val="28"/>
        </w:rPr>
        <w:t>Stage 3</w:t>
      </w: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Credit-impaired/defaulted accounts.</w:t>
      </w: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Indicators:</w:t>
      </w:r>
    </w:p>
    <w:p w:rsidR="004301A0" w:rsidRPr="004301A0" w:rsidRDefault="004301A0" w:rsidP="0043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Charge-off/default </w:t>
      </w:r>
    </w:p>
    <w:p w:rsidR="004301A0" w:rsidRPr="004301A0" w:rsidRDefault="004301A0" w:rsidP="0043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Severe delinquency </w:t>
      </w:r>
    </w:p>
    <w:p w:rsidR="004301A0" w:rsidRPr="004301A0" w:rsidRDefault="004301A0" w:rsidP="00430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 xml:space="preserve">Recovery process initiated </w:t>
      </w:r>
    </w:p>
    <w:p w:rsid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1A0">
        <w:rPr>
          <w:rFonts w:ascii="Times New Roman" w:eastAsia="Times New Roman" w:hAnsi="Times New Roman" w:cs="Times New Roman"/>
          <w:sz w:val="24"/>
          <w:szCs w:val="24"/>
        </w:rPr>
        <w:t>Lifetime ECL applied with elevated LGD assumptions.</w:t>
      </w:r>
    </w:p>
    <w:p w:rsidR="006F0E8B" w:rsidRDefault="006F0E8B" w:rsidP="006F0E8B">
      <w:pPr>
        <w:pStyle w:val="Heading1"/>
        <w:rPr>
          <w:sz w:val="32"/>
          <w:szCs w:val="32"/>
        </w:rPr>
      </w:pPr>
    </w:p>
    <w:p w:rsidR="006F0E8B" w:rsidRDefault="006F0E8B" w:rsidP="006F0E8B">
      <w:pPr>
        <w:pStyle w:val="Heading1"/>
        <w:rPr>
          <w:sz w:val="32"/>
          <w:szCs w:val="32"/>
        </w:rPr>
      </w:pPr>
    </w:p>
    <w:p w:rsidR="006F0E8B" w:rsidRDefault="006F0E8B" w:rsidP="006F0E8B">
      <w:pPr>
        <w:pStyle w:val="Heading1"/>
        <w:rPr>
          <w:sz w:val="32"/>
          <w:szCs w:val="32"/>
        </w:rPr>
      </w:pPr>
    </w:p>
    <w:p w:rsidR="006F0E8B" w:rsidRDefault="006F0E8B" w:rsidP="006F0E8B">
      <w:pPr>
        <w:pStyle w:val="Heading1"/>
        <w:rPr>
          <w:sz w:val="32"/>
          <w:szCs w:val="32"/>
        </w:rPr>
      </w:pPr>
    </w:p>
    <w:p w:rsidR="006F0E8B" w:rsidRDefault="006F0E8B" w:rsidP="006F0E8B">
      <w:pPr>
        <w:pStyle w:val="Heading1"/>
        <w:rPr>
          <w:sz w:val="32"/>
          <w:szCs w:val="32"/>
        </w:rPr>
      </w:pPr>
    </w:p>
    <w:p w:rsidR="006F0E8B" w:rsidRPr="006F0E8B" w:rsidRDefault="006F0E8B" w:rsidP="006F0E8B">
      <w:pPr>
        <w:pStyle w:val="Heading1"/>
        <w:rPr>
          <w:sz w:val="32"/>
          <w:szCs w:val="32"/>
        </w:rPr>
      </w:pPr>
      <w:r w:rsidRPr="006F0E8B">
        <w:rPr>
          <w:sz w:val="32"/>
          <w:szCs w:val="32"/>
        </w:rPr>
        <w:lastRenderedPageBreak/>
        <w:t>8. PD Model Development</w:t>
      </w:r>
    </w:p>
    <w:p w:rsidR="006F0E8B" w:rsidRPr="006F0E8B" w:rsidRDefault="006F0E8B" w:rsidP="006F0E8B">
      <w:pPr>
        <w:pStyle w:val="Heading2"/>
        <w:rPr>
          <w:sz w:val="28"/>
          <w:szCs w:val="28"/>
        </w:rPr>
      </w:pPr>
      <w:r w:rsidRPr="006F0E8B">
        <w:rPr>
          <w:sz w:val="28"/>
          <w:szCs w:val="28"/>
        </w:rPr>
        <w:t>Objective</w:t>
      </w:r>
    </w:p>
    <w:p w:rsidR="006F0E8B" w:rsidRDefault="006F0E8B" w:rsidP="006F0E8B">
      <w:pPr>
        <w:pStyle w:val="NormalWeb"/>
      </w:pPr>
      <w:r>
        <w:t>Estimate probability of borrower default.</w:t>
      </w:r>
    </w:p>
    <w:p w:rsidR="006F0E8B" w:rsidRPr="006F0E8B" w:rsidRDefault="006F0E8B" w:rsidP="006F0E8B">
      <w:pPr>
        <w:pStyle w:val="Heading2"/>
        <w:rPr>
          <w:sz w:val="28"/>
          <w:szCs w:val="28"/>
        </w:rPr>
      </w:pPr>
      <w:r w:rsidRPr="006F0E8B">
        <w:rPr>
          <w:sz w:val="28"/>
          <w:szCs w:val="28"/>
        </w:rPr>
        <w:t>Modeling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3459"/>
      </w:tblGrid>
      <w:tr w:rsidR="006F0E8B" w:rsidTr="006F0E8B">
        <w:tc>
          <w:tcPr>
            <w:tcW w:w="0" w:type="auto"/>
            <w:hideMark/>
          </w:tcPr>
          <w:p w:rsidR="006F0E8B" w:rsidRDefault="006F0E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:rsidR="006F0E8B" w:rsidRDefault="006F0E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F0E8B" w:rsidTr="006F0E8B"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proofErr w:type="spellStart"/>
            <w:r>
              <w:t>WoE</w:t>
            </w:r>
            <w:proofErr w:type="spellEnd"/>
            <w:r>
              <w:t xml:space="preserve"> Transformation</w:t>
            </w:r>
          </w:p>
        </w:tc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Monotonic risk transformation</w:t>
            </w:r>
          </w:p>
        </w:tc>
      </w:tr>
      <w:tr w:rsidR="006F0E8B" w:rsidTr="006F0E8B"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IV Analysis</w:t>
            </w:r>
          </w:p>
        </w:tc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Feature selection</w:t>
            </w:r>
          </w:p>
        </w:tc>
      </w:tr>
      <w:tr w:rsidR="006F0E8B" w:rsidTr="006F0E8B"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Logistic Regression</w:t>
            </w:r>
          </w:p>
        </w:tc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Basel-style PD estimation</w:t>
            </w:r>
          </w:p>
        </w:tc>
      </w:tr>
      <w:tr w:rsidR="006F0E8B" w:rsidTr="006F0E8B"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>Calibration</w:t>
            </w:r>
          </w:p>
        </w:tc>
        <w:tc>
          <w:tcPr>
            <w:tcW w:w="0" w:type="auto"/>
            <w:hideMark/>
          </w:tcPr>
          <w:p w:rsidR="006F0E8B" w:rsidRDefault="006F0E8B">
            <w:pPr>
              <w:rPr>
                <w:sz w:val="24"/>
                <w:szCs w:val="24"/>
              </w:rPr>
            </w:pPr>
            <w:r>
              <w:t xml:space="preserve">Align predicted </w:t>
            </w:r>
            <w:proofErr w:type="spellStart"/>
            <w:r>
              <w:t>vs</w:t>
            </w:r>
            <w:proofErr w:type="spellEnd"/>
            <w:r>
              <w:t xml:space="preserve"> observed defaults</w:t>
            </w:r>
          </w:p>
        </w:tc>
      </w:tr>
    </w:tbl>
    <w:p w:rsidR="00376467" w:rsidRPr="00376467" w:rsidRDefault="00376467" w:rsidP="00376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76467">
        <w:rPr>
          <w:rFonts w:ascii="Times New Roman" w:eastAsia="Times New Roman" w:hAnsi="Times New Roman" w:cs="Times New Roman"/>
          <w:b/>
          <w:bCs/>
          <w:sz w:val="32"/>
          <w:szCs w:val="32"/>
        </w:rPr>
        <w:t>Key Features</w:t>
      </w:r>
    </w:p>
    <w:p w:rsidR="00376467" w:rsidRP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376467" w:rsidRP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 xml:space="preserve">Delinquency indicators </w:t>
      </w:r>
    </w:p>
    <w:p w:rsidR="00376467" w:rsidRP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 xml:space="preserve">Repayment behavior </w:t>
      </w:r>
    </w:p>
    <w:p w:rsidR="00376467" w:rsidRP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 xml:space="preserve">Loan term </w:t>
      </w:r>
    </w:p>
    <w:p w:rsidR="00376467" w:rsidRP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 xml:space="preserve">Outstanding principal </w:t>
      </w:r>
    </w:p>
    <w:p w:rsidR="00376467" w:rsidRDefault="00376467" w:rsidP="00376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467">
        <w:rPr>
          <w:rFonts w:ascii="Times New Roman" w:eastAsia="Times New Roman" w:hAnsi="Times New Roman" w:cs="Times New Roman"/>
          <w:sz w:val="24"/>
          <w:szCs w:val="24"/>
        </w:rPr>
        <w:t>Borrower behavioral variables</w:t>
      </w:r>
    </w:p>
    <w:p w:rsidR="004645DE" w:rsidRPr="004645DE" w:rsidRDefault="004645DE" w:rsidP="00464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45DE">
        <w:rPr>
          <w:rFonts w:ascii="Times New Roman" w:eastAsia="Times New Roman" w:hAnsi="Times New Roman" w:cs="Times New Roman"/>
          <w:b/>
          <w:bCs/>
          <w:sz w:val="32"/>
          <w:szCs w:val="32"/>
        </w:rPr>
        <w:t>Model Selection</w:t>
      </w:r>
    </w:p>
    <w:p w:rsidR="004645DE" w:rsidRPr="004645DE" w:rsidRDefault="004645DE" w:rsidP="0046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DE">
        <w:rPr>
          <w:rFonts w:ascii="Times New Roman" w:eastAsia="Times New Roman" w:hAnsi="Times New Roman" w:cs="Times New Roman"/>
          <w:sz w:val="24"/>
          <w:szCs w:val="24"/>
        </w:rPr>
        <w:t>Champion model:</w:t>
      </w:r>
    </w:p>
    <w:p w:rsidR="004645DE" w:rsidRPr="004645DE" w:rsidRDefault="004645DE" w:rsidP="00464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645D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Logistic Regression</w:t>
      </w:r>
    </w:p>
    <w:p w:rsidR="004645DE" w:rsidRPr="004645DE" w:rsidRDefault="004645DE" w:rsidP="0046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DE">
        <w:rPr>
          <w:rFonts w:ascii="Times New Roman" w:eastAsia="Times New Roman" w:hAnsi="Times New Roman" w:cs="Times New Roman"/>
          <w:sz w:val="24"/>
          <w:szCs w:val="24"/>
        </w:rPr>
        <w:t>Challenger models:</w:t>
      </w:r>
    </w:p>
    <w:p w:rsidR="004645DE" w:rsidRPr="004645DE" w:rsidRDefault="004645DE" w:rsidP="00464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45DE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4645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45DE" w:rsidRPr="004645DE" w:rsidRDefault="004645DE" w:rsidP="00464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45DE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4645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45DE" w:rsidRDefault="004645DE" w:rsidP="00464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5DE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57506B" w:rsidRPr="0057506B" w:rsidRDefault="0057506B" w:rsidP="0057506B">
      <w:pPr>
        <w:pStyle w:val="Heading1"/>
        <w:rPr>
          <w:sz w:val="32"/>
          <w:szCs w:val="32"/>
        </w:rPr>
      </w:pPr>
      <w:r w:rsidRPr="0057506B">
        <w:rPr>
          <w:sz w:val="32"/>
          <w:szCs w:val="32"/>
        </w:rPr>
        <w:t>9. Lifetime PD Methodology</w:t>
      </w:r>
    </w:p>
    <w:p w:rsidR="0057506B" w:rsidRDefault="0057506B" w:rsidP="0057506B">
      <w:pPr>
        <w:pStyle w:val="NormalWeb"/>
      </w:pPr>
      <w:r>
        <w:t>The framework extends 12-month PD into lifetime PD for Stage 2 and Stage 3 accounts using stress multipliers and deterioration-based lifetime assumptions.</w:t>
      </w:r>
    </w:p>
    <w:tbl>
      <w:tblPr>
        <w:tblStyle w:val="TableGrid"/>
        <w:tblW w:w="3828" w:type="dxa"/>
        <w:tblLook w:val="04A0" w:firstRow="1" w:lastRow="0" w:firstColumn="1" w:lastColumn="0" w:noHBand="0" w:noVBand="1"/>
      </w:tblPr>
      <w:tblGrid>
        <w:gridCol w:w="1467"/>
        <w:gridCol w:w="2361"/>
      </w:tblGrid>
      <w:tr w:rsidR="0057506B" w:rsidTr="0057506B">
        <w:trPr>
          <w:trHeight w:val="272"/>
        </w:trPr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PD Horizon</w:t>
            </w:r>
          </w:p>
        </w:tc>
      </w:tr>
      <w:tr w:rsidR="0057506B" w:rsidTr="0057506B">
        <w:trPr>
          <w:trHeight w:val="272"/>
        </w:trPr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Stage 1</w:t>
            </w:r>
          </w:p>
        </w:tc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12-month PD</w:t>
            </w:r>
          </w:p>
        </w:tc>
      </w:tr>
      <w:tr w:rsidR="0057506B" w:rsidTr="0057506B">
        <w:trPr>
          <w:trHeight w:val="284"/>
        </w:trPr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Stage 2</w:t>
            </w:r>
          </w:p>
        </w:tc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Lifetime PD</w:t>
            </w:r>
          </w:p>
        </w:tc>
      </w:tr>
      <w:tr w:rsidR="0057506B" w:rsidTr="0057506B">
        <w:trPr>
          <w:trHeight w:val="284"/>
        </w:trPr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Stage 3</w:t>
            </w:r>
          </w:p>
        </w:tc>
        <w:tc>
          <w:tcPr>
            <w:tcW w:w="0" w:type="auto"/>
            <w:hideMark/>
          </w:tcPr>
          <w:p w:rsidR="0057506B" w:rsidRDefault="0057506B" w:rsidP="0057506B">
            <w:pPr>
              <w:jc w:val="center"/>
              <w:rPr>
                <w:sz w:val="24"/>
                <w:szCs w:val="24"/>
              </w:rPr>
            </w:pPr>
            <w:r>
              <w:t>Lifetime PD</w:t>
            </w:r>
          </w:p>
        </w:tc>
      </w:tr>
    </w:tbl>
    <w:p w:rsidR="0057506B" w:rsidRDefault="0057506B" w:rsidP="0057506B">
      <w:pPr>
        <w:pStyle w:val="NormalWeb"/>
      </w:pPr>
      <w:r>
        <w:lastRenderedPageBreak/>
        <w:t>The implementation follows a Point-in-Time (PIT) oriented IFRS 9 extension layered on top of Basel-style PD foundations.</w:t>
      </w:r>
    </w:p>
    <w:p w:rsidR="004A09C4" w:rsidRPr="004A09C4" w:rsidRDefault="004A09C4" w:rsidP="004A0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A09C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 LGD Methodology</w:t>
      </w:r>
    </w:p>
    <w:p w:rsidR="004A09C4" w:rsidRPr="004A09C4" w:rsidRDefault="004A09C4" w:rsidP="004A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>LGD estimates expected loss severity after borrower default.</w:t>
      </w:r>
    </w:p>
    <w:p w:rsidR="004A09C4" w:rsidRPr="004A09C4" w:rsidRDefault="004A09C4" w:rsidP="004A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9C4">
        <w:rPr>
          <w:rFonts w:ascii="Times New Roman" w:eastAsia="Times New Roman" w:hAnsi="Times New Roman" w:cs="Times New Roman"/>
          <w:b/>
          <w:bCs/>
          <w:sz w:val="28"/>
          <w:szCs w:val="28"/>
        </w:rPr>
        <w:t>Inputs</w:t>
      </w:r>
    </w:p>
    <w:p w:rsidR="004A09C4" w:rsidRPr="004A09C4" w:rsidRDefault="004A09C4" w:rsidP="004A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Recoveries </w:t>
      </w:r>
    </w:p>
    <w:p w:rsidR="004A09C4" w:rsidRPr="004A09C4" w:rsidRDefault="004A09C4" w:rsidP="004A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Collection recoveries </w:t>
      </w:r>
    </w:p>
    <w:p w:rsidR="004A09C4" w:rsidRPr="004A09C4" w:rsidRDefault="004A09C4" w:rsidP="004A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Outstanding balance </w:t>
      </w:r>
    </w:p>
    <w:p w:rsidR="004A09C4" w:rsidRPr="004A09C4" w:rsidRDefault="004A09C4" w:rsidP="004A09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Recovery costs </w:t>
      </w:r>
    </w:p>
    <w:p w:rsidR="004A09C4" w:rsidRPr="004A09C4" w:rsidRDefault="0022565E" w:rsidP="004A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09C4" w:rsidRPr="004A09C4" w:rsidRDefault="004A09C4" w:rsidP="004A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9C4">
        <w:rPr>
          <w:rFonts w:ascii="Times New Roman" w:eastAsia="Times New Roman" w:hAnsi="Times New Roman" w:cs="Times New Roman"/>
          <w:b/>
          <w:bCs/>
          <w:sz w:val="28"/>
          <w:szCs w:val="28"/>
        </w:rPr>
        <w:t>LGD Formula</w:t>
      </w:r>
    </w:p>
    <w:p w:rsidR="004A09C4" w:rsidRPr="004A09C4" w:rsidRDefault="004A09C4" w:rsidP="004A0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>LGD=1−Recovery Rate</w:t>
      </w:r>
    </w:p>
    <w:p w:rsidR="004A09C4" w:rsidRPr="004A09C4" w:rsidRDefault="0022565E" w:rsidP="004A0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09C4" w:rsidRPr="004A09C4" w:rsidRDefault="004A09C4" w:rsidP="004A0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9C4">
        <w:rPr>
          <w:rFonts w:ascii="Times New Roman" w:eastAsia="Times New Roman" w:hAnsi="Times New Roman" w:cs="Times New Roman"/>
          <w:b/>
          <w:bCs/>
          <w:sz w:val="28"/>
          <w:szCs w:val="28"/>
        </w:rPr>
        <w:t>Governance Controls</w:t>
      </w:r>
    </w:p>
    <w:p w:rsidR="004A09C4" w:rsidRPr="004A09C4" w:rsidRDefault="004A09C4" w:rsidP="004A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LGD floor applied </w:t>
      </w:r>
    </w:p>
    <w:p w:rsidR="004A09C4" w:rsidRPr="004A09C4" w:rsidRDefault="004A09C4" w:rsidP="004A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 xml:space="preserve">Outlier review performed </w:t>
      </w:r>
    </w:p>
    <w:p w:rsidR="004A09C4" w:rsidRDefault="004A09C4" w:rsidP="004A09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C4">
        <w:rPr>
          <w:rFonts w:ascii="Times New Roman" w:eastAsia="Times New Roman" w:hAnsi="Times New Roman" w:cs="Times New Roman"/>
          <w:sz w:val="24"/>
          <w:szCs w:val="24"/>
        </w:rPr>
        <w:t>Recovery consistency checks implemented</w:t>
      </w:r>
    </w:p>
    <w:p w:rsidR="00772D25" w:rsidRPr="00772D25" w:rsidRDefault="00772D25" w:rsidP="00772D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72D2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11. EAD Methodology</w:t>
      </w:r>
    </w:p>
    <w:p w:rsidR="00772D25" w:rsidRPr="00772D25" w:rsidRDefault="00772D25" w:rsidP="00772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>EAD estimates exposure outstanding at default timing.</w:t>
      </w:r>
    </w:p>
    <w:p w:rsidR="00772D25" w:rsidRPr="00772D25" w:rsidRDefault="00772D25" w:rsidP="00772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2D25">
        <w:rPr>
          <w:rFonts w:ascii="Times New Roman" w:eastAsia="Times New Roman" w:hAnsi="Times New Roman" w:cs="Times New Roman"/>
          <w:b/>
          <w:bCs/>
          <w:sz w:val="28"/>
          <w:szCs w:val="28"/>
        </w:rPr>
        <w:t>Inputs</w:t>
      </w:r>
    </w:p>
    <w:p w:rsidR="00772D25" w:rsidRPr="00772D25" w:rsidRDefault="00772D25" w:rsidP="00772D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Outstanding principal </w:t>
      </w:r>
    </w:p>
    <w:p w:rsidR="00772D25" w:rsidRPr="00772D25" w:rsidRDefault="00772D25" w:rsidP="00772D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Funded amount </w:t>
      </w:r>
    </w:p>
    <w:p w:rsidR="00772D25" w:rsidRPr="00772D25" w:rsidRDefault="00772D25" w:rsidP="00772D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Loan term </w:t>
      </w:r>
    </w:p>
    <w:p w:rsidR="00772D25" w:rsidRPr="00772D25" w:rsidRDefault="00772D25" w:rsidP="00772D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Utilization behavior </w:t>
      </w:r>
    </w:p>
    <w:p w:rsidR="00772D25" w:rsidRPr="00772D25" w:rsidRDefault="0022565E" w:rsidP="00772D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2D25" w:rsidRPr="00772D25" w:rsidRDefault="00772D25" w:rsidP="00772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72D25">
        <w:rPr>
          <w:rFonts w:ascii="Times New Roman" w:eastAsia="Times New Roman" w:hAnsi="Times New Roman" w:cs="Times New Roman"/>
          <w:b/>
          <w:bCs/>
          <w:sz w:val="28"/>
          <w:szCs w:val="28"/>
        </w:rPr>
        <w:t>Governance Controls</w:t>
      </w:r>
    </w:p>
    <w:p w:rsidR="00772D25" w:rsidRPr="00772D25" w:rsidRDefault="00772D25" w:rsidP="00772D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Exposure stability checks </w:t>
      </w:r>
    </w:p>
    <w:p w:rsidR="00772D25" w:rsidRDefault="00772D25" w:rsidP="00772D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t xml:space="preserve">Concentration analysis </w:t>
      </w:r>
    </w:p>
    <w:p w:rsidR="00772D25" w:rsidRPr="00772D25" w:rsidRDefault="00772D25" w:rsidP="00772D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D25">
        <w:rPr>
          <w:rFonts w:ascii="Times New Roman" w:eastAsia="Times New Roman" w:hAnsi="Times New Roman" w:cs="Times New Roman"/>
          <w:sz w:val="24"/>
          <w:szCs w:val="24"/>
        </w:rPr>
        <w:lastRenderedPageBreak/>
        <w:t>Stage-level exposure monitoring</w:t>
      </w:r>
    </w:p>
    <w:p w:rsidR="00772D25" w:rsidRPr="00772D25" w:rsidRDefault="00772D25" w:rsidP="00772D25">
      <w:pPr>
        <w:pStyle w:val="Heading1"/>
        <w:rPr>
          <w:sz w:val="32"/>
          <w:szCs w:val="32"/>
        </w:rPr>
      </w:pPr>
      <w:r w:rsidRPr="00772D25">
        <w:rPr>
          <w:sz w:val="32"/>
          <w:szCs w:val="32"/>
        </w:rPr>
        <w:t>12. Validation Framework</w:t>
      </w:r>
    </w:p>
    <w:p w:rsidR="00772D25" w:rsidRDefault="00772D25" w:rsidP="00772D25">
      <w:pPr>
        <w:pStyle w:val="NormalWeb"/>
      </w:pPr>
      <w:r>
        <w:t>Validation activities include:</w:t>
      </w:r>
    </w:p>
    <w:tbl>
      <w:tblPr>
        <w:tblStyle w:val="TableGrid"/>
        <w:tblW w:w="6450" w:type="dxa"/>
        <w:tblLook w:val="04A0" w:firstRow="1" w:lastRow="0" w:firstColumn="1" w:lastColumn="0" w:noHBand="0" w:noVBand="1"/>
      </w:tblPr>
      <w:tblGrid>
        <w:gridCol w:w="2588"/>
        <w:gridCol w:w="3862"/>
      </w:tblGrid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Validation Area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Coverage</w:t>
            </w:r>
          </w:p>
        </w:tc>
      </w:tr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Stage Distribution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Stage migration consistency</w:t>
            </w:r>
          </w:p>
        </w:tc>
      </w:tr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PD Validation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Calibration, monotonicity</w:t>
            </w:r>
          </w:p>
        </w:tc>
      </w:tr>
      <w:tr w:rsidR="00772D25" w:rsidTr="00772D25">
        <w:trPr>
          <w:trHeight w:val="278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LGD Validation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Recovery consistency</w:t>
            </w:r>
          </w:p>
        </w:tc>
      </w:tr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EAD Validation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Exposure stability</w:t>
            </w:r>
          </w:p>
        </w:tc>
      </w:tr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ECL Validation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Formula verification</w:t>
            </w:r>
          </w:p>
        </w:tc>
      </w:tr>
      <w:tr w:rsidR="00772D25" w:rsidTr="00772D25">
        <w:trPr>
          <w:trHeight w:val="266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Stress Testing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Sensitivity analysis</w:t>
            </w:r>
          </w:p>
        </w:tc>
      </w:tr>
      <w:tr w:rsidR="00772D25" w:rsidTr="00772D25">
        <w:trPr>
          <w:trHeight w:val="278"/>
        </w:trPr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Monitoring</w:t>
            </w:r>
          </w:p>
        </w:tc>
        <w:tc>
          <w:tcPr>
            <w:tcW w:w="0" w:type="auto"/>
            <w:hideMark/>
          </w:tcPr>
          <w:p w:rsidR="00772D25" w:rsidRDefault="00772D25" w:rsidP="00772D25">
            <w:pPr>
              <w:jc w:val="center"/>
              <w:rPr>
                <w:sz w:val="24"/>
                <w:szCs w:val="24"/>
              </w:rPr>
            </w:pPr>
            <w:r>
              <w:t>PSI, drift analysis</w:t>
            </w:r>
          </w:p>
        </w:tc>
      </w:tr>
    </w:tbl>
    <w:p w:rsidR="00A315C7" w:rsidRPr="00A315C7" w:rsidRDefault="00A315C7" w:rsidP="00A315C7">
      <w:pPr>
        <w:pStyle w:val="Heading1"/>
        <w:rPr>
          <w:sz w:val="32"/>
          <w:szCs w:val="32"/>
        </w:rPr>
      </w:pPr>
      <w:r w:rsidRPr="00A315C7">
        <w:rPr>
          <w:sz w:val="32"/>
          <w:szCs w:val="32"/>
        </w:rPr>
        <w:t>13. Monitoring Framework</w:t>
      </w:r>
    </w:p>
    <w:p w:rsidR="00A315C7" w:rsidRDefault="00A315C7" w:rsidP="00A315C7">
      <w:pPr>
        <w:pStyle w:val="NormalWeb"/>
      </w:pPr>
      <w:r>
        <w:t>Monitoring framework includes:</w:t>
      </w:r>
    </w:p>
    <w:tbl>
      <w:tblPr>
        <w:tblStyle w:val="TableGrid"/>
        <w:tblW w:w="6595" w:type="dxa"/>
        <w:tblLook w:val="04A0" w:firstRow="1" w:lastRow="0" w:firstColumn="1" w:lastColumn="0" w:noHBand="0" w:noVBand="1"/>
      </w:tblPr>
      <w:tblGrid>
        <w:gridCol w:w="2959"/>
        <w:gridCol w:w="3636"/>
      </w:tblGrid>
      <w:tr w:rsidR="00A315C7" w:rsidTr="00A315C7">
        <w:trPr>
          <w:trHeight w:val="317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Monitoring Metric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315C7" w:rsidTr="00A315C7">
        <w:trPr>
          <w:trHeight w:val="303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PSI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Portfolio drift detection</w:t>
            </w:r>
          </w:p>
        </w:tc>
      </w:tr>
      <w:tr w:rsidR="00A315C7" w:rsidTr="00A315C7">
        <w:trPr>
          <w:trHeight w:val="303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PD Drift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Predictive stability</w:t>
            </w:r>
          </w:p>
        </w:tc>
      </w:tr>
      <w:tr w:rsidR="00A315C7" w:rsidTr="00A315C7">
        <w:trPr>
          <w:trHeight w:val="303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ECL Drift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Provisioning stability</w:t>
            </w:r>
          </w:p>
        </w:tc>
      </w:tr>
      <w:tr w:rsidR="00A315C7" w:rsidTr="00A315C7">
        <w:trPr>
          <w:trHeight w:val="317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Stage Migration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SICR consistency</w:t>
            </w:r>
          </w:p>
        </w:tc>
      </w:tr>
      <w:tr w:rsidR="00A315C7" w:rsidTr="00A315C7">
        <w:trPr>
          <w:trHeight w:val="303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Calibration Drift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Reliability monitoring</w:t>
            </w:r>
          </w:p>
        </w:tc>
      </w:tr>
      <w:tr w:rsidR="00A315C7" w:rsidTr="00A315C7">
        <w:trPr>
          <w:trHeight w:val="317"/>
        </w:trPr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Stress Sensitivity</w:t>
            </w:r>
          </w:p>
        </w:tc>
        <w:tc>
          <w:tcPr>
            <w:tcW w:w="0" w:type="auto"/>
            <w:hideMark/>
          </w:tcPr>
          <w:p w:rsidR="00A315C7" w:rsidRDefault="00A315C7" w:rsidP="00A315C7">
            <w:pPr>
              <w:jc w:val="center"/>
              <w:rPr>
                <w:sz w:val="24"/>
                <w:szCs w:val="24"/>
              </w:rPr>
            </w:pPr>
            <w:r>
              <w:t>Scenario robustness</w:t>
            </w:r>
          </w:p>
        </w:tc>
      </w:tr>
    </w:tbl>
    <w:p w:rsidR="00DC6286" w:rsidRPr="00DC6286" w:rsidRDefault="00DC6286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C628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14. Governance &amp; Escalation</w:t>
      </w:r>
    </w:p>
    <w:p w:rsidR="00DC6286" w:rsidRPr="00DC6286" w:rsidRDefault="00DC6286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Threshold breaches trigger:</w:t>
      </w:r>
    </w:p>
    <w:p w:rsidR="00DC6286" w:rsidRPr="00DC6286" w:rsidRDefault="00DC6286" w:rsidP="00DC6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investigation </w:t>
      </w:r>
    </w:p>
    <w:p w:rsidR="00DC6286" w:rsidRPr="00DC6286" w:rsidRDefault="00DC6286" w:rsidP="00DC6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governance review </w:t>
      </w:r>
    </w:p>
    <w:p w:rsidR="00DC6286" w:rsidRPr="00DC6286" w:rsidRDefault="00DC6286" w:rsidP="00DC6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challenger assessment </w:t>
      </w:r>
    </w:p>
    <w:p w:rsidR="00DC6286" w:rsidRPr="00DC6286" w:rsidRDefault="00DC6286" w:rsidP="00DC6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recalibration analysis </w:t>
      </w:r>
    </w:p>
    <w:p w:rsidR="00DC6286" w:rsidRPr="00DC6286" w:rsidRDefault="00DC6286" w:rsidP="00DC62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escalation review </w:t>
      </w:r>
    </w:p>
    <w:p w:rsidR="00DC6286" w:rsidRPr="00DC6286" w:rsidRDefault="00DC6286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Materiality assessment determines whether observed drift is significant enough to impact:</w:t>
      </w:r>
    </w:p>
    <w:p w:rsidR="00DC6286" w:rsidRPr="00DC6286" w:rsidRDefault="00DC6286" w:rsidP="00DC6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provisioning reliability </w:t>
      </w:r>
    </w:p>
    <w:p w:rsidR="00DC6286" w:rsidRPr="00DC6286" w:rsidRDefault="00DC6286" w:rsidP="00DC6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model stability </w:t>
      </w:r>
    </w:p>
    <w:p w:rsidR="00DC6286" w:rsidRPr="00DC6286" w:rsidRDefault="00DC6286" w:rsidP="00DC62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financial reporting </w:t>
      </w:r>
    </w:p>
    <w:p w:rsidR="00DC6286" w:rsidRPr="00DC6286" w:rsidRDefault="00DC6286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Persistent deterioration may indicate:</w:t>
      </w:r>
    </w:p>
    <w:p w:rsidR="00DC6286" w:rsidRDefault="00DC6286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DC62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model</w:t>
      </w:r>
      <w:proofErr w:type="gramEnd"/>
      <w:r w:rsidRPr="00DC62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impairment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</w:p>
    <w:p w:rsidR="00DC7918" w:rsidRDefault="00DC7918" w:rsidP="00DC628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DC7918">
        <w:rPr>
          <w:rFonts w:ascii="Times New Roman" w:hAnsi="Times New Roman" w:cs="Times New Roman"/>
          <w:b/>
          <w:sz w:val="32"/>
          <w:szCs w:val="32"/>
        </w:rPr>
        <w:t>14A. Model Performance Summary</w:t>
      </w:r>
    </w:p>
    <w:tbl>
      <w:tblPr>
        <w:tblStyle w:val="TableGrid"/>
        <w:tblW w:w="4478" w:type="dxa"/>
        <w:tblLook w:val="04A0" w:firstRow="1" w:lastRow="0" w:firstColumn="1" w:lastColumn="0" w:noHBand="0" w:noVBand="1"/>
      </w:tblPr>
      <w:tblGrid>
        <w:gridCol w:w="2221"/>
        <w:gridCol w:w="2257"/>
      </w:tblGrid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Champion Model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OOT AUC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OOT </w:t>
            </w:r>
            <w:proofErr w:type="spellStart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Gini</w:t>
            </w:r>
            <w:proofErr w:type="spellEnd"/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0.44</w:t>
            </w:r>
          </w:p>
        </w:tc>
      </w:tr>
      <w:tr w:rsidR="0022565E" w:rsidRPr="0022565E" w:rsidTr="0022565E">
        <w:trPr>
          <w:trHeight w:val="276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Stage 1 Share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80.23%</w:t>
            </w:r>
          </w:p>
        </w:tc>
        <w:bookmarkStart w:id="0" w:name="_GoBack"/>
        <w:bookmarkEnd w:id="0"/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Stage 2 Share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10.32%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Stage 3 Share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9.45%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Portfolio PD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10.93%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Portfolio LGD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</w:tr>
      <w:tr w:rsidR="0022565E" w:rsidRPr="0022565E" w:rsidTr="0022565E">
        <w:trPr>
          <w:trHeight w:val="289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Portfolio ECL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$1,953</w:t>
            </w:r>
          </w:p>
        </w:tc>
      </w:tr>
      <w:tr w:rsidR="0022565E" w:rsidRPr="0022565E" w:rsidTr="0022565E">
        <w:trPr>
          <w:trHeight w:val="276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Status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2565E" w:rsidRPr="0022565E" w:rsidTr="0022565E">
        <w:trPr>
          <w:trHeight w:val="303"/>
        </w:trPr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Status</w:t>
            </w:r>
          </w:p>
        </w:tc>
        <w:tc>
          <w:tcPr>
            <w:tcW w:w="0" w:type="auto"/>
            <w:hideMark/>
          </w:tcPr>
          <w:p w:rsidR="0022565E" w:rsidRPr="0022565E" w:rsidRDefault="0022565E" w:rsidP="0022565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565E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:rsidR="00DC7918" w:rsidRPr="00DC7918" w:rsidRDefault="00DC7918" w:rsidP="00DC791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DC7918" w:rsidRPr="00DC7918" w:rsidRDefault="00DC7918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C6286" w:rsidRPr="00DC6286" w:rsidRDefault="00DC6286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C628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15. Limitations</w:t>
      </w:r>
    </w:p>
    <w:p w:rsidR="00DC6286" w:rsidRPr="00DC6286" w:rsidRDefault="00DC6286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Current framework limitations include:</w:t>
      </w:r>
    </w:p>
    <w:p w:rsidR="00DC6286" w:rsidRPr="00DC6286" w:rsidRDefault="00DC6286" w:rsidP="00DC6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Simplified macroeconomic overlays </w:t>
      </w:r>
    </w:p>
    <w:p w:rsidR="00DC6286" w:rsidRPr="00DC6286" w:rsidRDefault="00DC6286" w:rsidP="00DC6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Limited external macro integration </w:t>
      </w:r>
    </w:p>
    <w:p w:rsidR="00DC6286" w:rsidRPr="00DC6286" w:rsidRDefault="00DC6286" w:rsidP="00DC6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Simplified lifetime PD expansion </w:t>
      </w:r>
    </w:p>
    <w:p w:rsidR="00DC6286" w:rsidRPr="00DC6286" w:rsidRDefault="00DC6286" w:rsidP="00DC6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No production deployment infrastructure </w:t>
      </w:r>
    </w:p>
    <w:p w:rsidR="00DC6286" w:rsidRPr="00DC6286" w:rsidRDefault="00DC6286" w:rsidP="00DC62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Simplified scenario weighting </w:t>
      </w:r>
    </w:p>
    <w:p w:rsidR="00DC6286" w:rsidRPr="00DC6286" w:rsidRDefault="0022565E" w:rsidP="00DC6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6286" w:rsidRPr="00DC6286" w:rsidRDefault="00DC6286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C62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16. Future Enhancements</w:t>
      </w:r>
    </w:p>
    <w:p w:rsidR="00DC6286" w:rsidRPr="00DC6286" w:rsidRDefault="00DC6286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Planned future improvements:</w:t>
      </w:r>
    </w:p>
    <w:p w:rsidR="00DC6286" w:rsidRP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Explicit macroeconomic scenario integration </w:t>
      </w:r>
    </w:p>
    <w:p w:rsidR="00DC6286" w:rsidRP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Vintage analysis </w:t>
      </w:r>
    </w:p>
    <w:p w:rsidR="00DC6286" w:rsidRP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Transition matrix modeling </w:t>
      </w:r>
    </w:p>
    <w:p w:rsidR="00DC6286" w:rsidRP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SHAP </w:t>
      </w:r>
      <w:proofErr w:type="spellStart"/>
      <w:r w:rsidRPr="00DC628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6286" w:rsidRP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 xml:space="preserve">Automated monitoring alerts </w:t>
      </w:r>
    </w:p>
    <w:p w:rsidR="00DC6286" w:rsidRDefault="00DC6286" w:rsidP="00DC62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286">
        <w:rPr>
          <w:rFonts w:ascii="Times New Roman" w:eastAsia="Times New Roman" w:hAnsi="Times New Roman" w:cs="Times New Roman"/>
          <w:sz w:val="24"/>
          <w:szCs w:val="24"/>
        </w:rPr>
        <w:t>Recalibration workflow automation</w:t>
      </w:r>
    </w:p>
    <w:p w:rsidR="00790A82" w:rsidRPr="00790A82" w:rsidRDefault="00790A82" w:rsidP="00790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790A8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17. Conclusion</w:t>
      </w:r>
    </w:p>
    <w:p w:rsidR="00790A82" w:rsidRPr="00790A82" w:rsidRDefault="00790A82" w:rsidP="0079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lastRenderedPageBreak/>
        <w:t>The framework successfully integrates Basel-style PD/LGD/EAD modeling with IFRS 9 Expected Credit Loss methodology under a governance-oriented validation and monitoring structure.</w:t>
      </w:r>
    </w:p>
    <w:p w:rsidR="00790A82" w:rsidRPr="00790A82" w:rsidRDefault="00790A82" w:rsidP="0079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>The implementation demonstrates:</w:t>
      </w:r>
    </w:p>
    <w:p w:rsidR="00790A82" w:rsidRPr="00790A82" w:rsidRDefault="00790A82" w:rsidP="0079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quantitative credit risk modeling </w:t>
      </w:r>
    </w:p>
    <w:p w:rsidR="00790A82" w:rsidRPr="00790A82" w:rsidRDefault="00790A82" w:rsidP="0079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IFRS 9 staging logic </w:t>
      </w:r>
    </w:p>
    <w:p w:rsidR="00790A82" w:rsidRPr="00790A82" w:rsidRDefault="00790A82" w:rsidP="0079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model validation practices </w:t>
      </w:r>
    </w:p>
    <w:p w:rsidR="00790A82" w:rsidRPr="00790A82" w:rsidRDefault="00790A82" w:rsidP="0079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monitoring workflows </w:t>
      </w:r>
    </w:p>
    <w:p w:rsidR="00790A82" w:rsidRPr="00790A82" w:rsidRDefault="00790A82" w:rsidP="00790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SR 11-7 aligned governance thinking </w:t>
      </w:r>
    </w:p>
    <w:p w:rsidR="00790A82" w:rsidRPr="00790A82" w:rsidRDefault="00790A82" w:rsidP="00790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A82">
        <w:rPr>
          <w:rFonts w:ascii="Times New Roman" w:eastAsia="Times New Roman" w:hAnsi="Times New Roman" w:cs="Times New Roman"/>
          <w:sz w:val="24"/>
          <w:szCs w:val="24"/>
        </w:rPr>
        <w:t>across</w:t>
      </w:r>
      <w:proofErr w:type="gramEnd"/>
      <w:r w:rsidRPr="00790A82">
        <w:rPr>
          <w:rFonts w:ascii="Times New Roman" w:eastAsia="Times New Roman" w:hAnsi="Times New Roman" w:cs="Times New Roman"/>
          <w:sz w:val="24"/>
          <w:szCs w:val="24"/>
        </w:rPr>
        <w:t xml:space="preserve"> an end-to-end retail credit risk lifecycle.</w:t>
      </w:r>
    </w:p>
    <w:p w:rsidR="00790A82" w:rsidRPr="00DC6286" w:rsidRDefault="00790A82" w:rsidP="00790A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C6286" w:rsidRPr="00DC6286" w:rsidRDefault="00DC6286" w:rsidP="00DC6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72D25" w:rsidRPr="004A09C4" w:rsidRDefault="00772D25" w:rsidP="00DC6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09C4" w:rsidRDefault="004A09C4" w:rsidP="0057506B">
      <w:pPr>
        <w:pStyle w:val="NormalWeb"/>
      </w:pPr>
    </w:p>
    <w:p w:rsidR="0057506B" w:rsidRPr="004645DE" w:rsidRDefault="0057506B" w:rsidP="00575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5DE" w:rsidRPr="00376467" w:rsidRDefault="004645DE" w:rsidP="00464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0E8B" w:rsidRPr="004301A0" w:rsidRDefault="006F0E8B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301A0" w:rsidRPr="004301A0" w:rsidRDefault="004301A0" w:rsidP="00430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4B0" w:rsidRDefault="00F034B0" w:rsidP="00AD6509"/>
    <w:sectPr w:rsidR="00F034B0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3005E"/>
    <w:multiLevelType w:val="multilevel"/>
    <w:tmpl w:val="8D2E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E3F78"/>
    <w:multiLevelType w:val="multilevel"/>
    <w:tmpl w:val="23E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B4C3A"/>
    <w:multiLevelType w:val="multilevel"/>
    <w:tmpl w:val="160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65A52"/>
    <w:multiLevelType w:val="multilevel"/>
    <w:tmpl w:val="95F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7772F4"/>
    <w:multiLevelType w:val="multilevel"/>
    <w:tmpl w:val="73C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0C2E1B"/>
    <w:multiLevelType w:val="multilevel"/>
    <w:tmpl w:val="DD0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0F3144"/>
    <w:multiLevelType w:val="multilevel"/>
    <w:tmpl w:val="5BB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183411"/>
    <w:multiLevelType w:val="multilevel"/>
    <w:tmpl w:val="3D7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0679E"/>
    <w:multiLevelType w:val="multilevel"/>
    <w:tmpl w:val="C75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8958CA"/>
    <w:multiLevelType w:val="multilevel"/>
    <w:tmpl w:val="F75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9655CE"/>
    <w:multiLevelType w:val="multilevel"/>
    <w:tmpl w:val="2BD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17303"/>
    <w:multiLevelType w:val="multilevel"/>
    <w:tmpl w:val="354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7C1251"/>
    <w:multiLevelType w:val="multilevel"/>
    <w:tmpl w:val="CE4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930B6B"/>
    <w:multiLevelType w:val="multilevel"/>
    <w:tmpl w:val="5EB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5154E6"/>
    <w:multiLevelType w:val="multilevel"/>
    <w:tmpl w:val="947C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E022C1"/>
    <w:multiLevelType w:val="multilevel"/>
    <w:tmpl w:val="02C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5"/>
  </w:num>
  <w:num w:numId="4">
    <w:abstractNumId w:val="5"/>
  </w:num>
  <w:num w:numId="5">
    <w:abstractNumId w:val="12"/>
  </w:num>
  <w:num w:numId="6">
    <w:abstractNumId w:val="0"/>
  </w:num>
  <w:num w:numId="7">
    <w:abstractNumId w:val="4"/>
  </w:num>
  <w:num w:numId="8">
    <w:abstractNumId w:val="14"/>
  </w:num>
  <w:num w:numId="9">
    <w:abstractNumId w:val="9"/>
  </w:num>
  <w:num w:numId="10">
    <w:abstractNumId w:val="2"/>
  </w:num>
  <w:num w:numId="11">
    <w:abstractNumId w:val="13"/>
  </w:num>
  <w:num w:numId="12">
    <w:abstractNumId w:val="8"/>
  </w:num>
  <w:num w:numId="13">
    <w:abstractNumId w:val="11"/>
  </w:num>
  <w:num w:numId="14">
    <w:abstractNumId w:val="3"/>
  </w:num>
  <w:num w:numId="15">
    <w:abstractNumId w:val="1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EDB"/>
    <w:rsid w:val="0022565E"/>
    <w:rsid w:val="002A14C9"/>
    <w:rsid w:val="00376467"/>
    <w:rsid w:val="004301A0"/>
    <w:rsid w:val="004645DE"/>
    <w:rsid w:val="004A09C4"/>
    <w:rsid w:val="004F75F6"/>
    <w:rsid w:val="0057506B"/>
    <w:rsid w:val="006F0E8B"/>
    <w:rsid w:val="00772D25"/>
    <w:rsid w:val="00790A82"/>
    <w:rsid w:val="008D676D"/>
    <w:rsid w:val="009C15F0"/>
    <w:rsid w:val="00A315C7"/>
    <w:rsid w:val="00A8454E"/>
    <w:rsid w:val="00AD6509"/>
    <w:rsid w:val="00B94511"/>
    <w:rsid w:val="00D05EDB"/>
    <w:rsid w:val="00DC6286"/>
    <w:rsid w:val="00DC7918"/>
    <w:rsid w:val="00F0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E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6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D6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DefaultParagraphFont"/>
    <w:rsid w:val="00F034B0"/>
  </w:style>
  <w:style w:type="character" w:customStyle="1" w:styleId="mord">
    <w:name w:val="mord"/>
    <w:basedOn w:val="DefaultParagraphFont"/>
    <w:rsid w:val="00F034B0"/>
  </w:style>
  <w:style w:type="character" w:customStyle="1" w:styleId="mrel">
    <w:name w:val="mrel"/>
    <w:basedOn w:val="DefaultParagraphFont"/>
    <w:rsid w:val="00F034B0"/>
  </w:style>
  <w:style w:type="character" w:customStyle="1" w:styleId="mbin">
    <w:name w:val="mbin"/>
    <w:basedOn w:val="DefaultParagraphFont"/>
    <w:rsid w:val="00F034B0"/>
  </w:style>
  <w:style w:type="character" w:customStyle="1" w:styleId="mspace">
    <w:name w:val="mspace"/>
    <w:basedOn w:val="DefaultParagraphFont"/>
    <w:rsid w:val="004A09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E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6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8D6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DefaultParagraphFont"/>
    <w:rsid w:val="00F034B0"/>
  </w:style>
  <w:style w:type="character" w:customStyle="1" w:styleId="mord">
    <w:name w:val="mord"/>
    <w:basedOn w:val="DefaultParagraphFont"/>
    <w:rsid w:val="00F034B0"/>
  </w:style>
  <w:style w:type="character" w:customStyle="1" w:styleId="mrel">
    <w:name w:val="mrel"/>
    <w:basedOn w:val="DefaultParagraphFont"/>
    <w:rsid w:val="00F034B0"/>
  </w:style>
  <w:style w:type="character" w:customStyle="1" w:styleId="mbin">
    <w:name w:val="mbin"/>
    <w:basedOn w:val="DefaultParagraphFont"/>
    <w:rsid w:val="00F034B0"/>
  </w:style>
  <w:style w:type="character" w:customStyle="1" w:styleId="mspace">
    <w:name w:val="mspace"/>
    <w:basedOn w:val="DefaultParagraphFont"/>
    <w:rsid w:val="004A0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9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16</cp:revision>
  <dcterms:created xsi:type="dcterms:W3CDTF">2026-05-30T05:30:00Z</dcterms:created>
  <dcterms:modified xsi:type="dcterms:W3CDTF">2026-05-30T09:39:00Z</dcterms:modified>
</cp:coreProperties>
</file>