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7365D"/>
          <w:sz w:val="72"/>
        </w:rPr>
        <w:t>E-MUNSHI</w:t>
      </w:r>
    </w:p>
    <w:p>
      <w:pPr>
        <w:jc w:val="center"/>
      </w:pPr>
      <w:r>
        <w:rPr>
          <w:b/>
          <w:color w:val="24527A"/>
          <w:sz w:val="36"/>
        </w:rPr>
        <w:t>Product Architecture, ADRs, Budget &amp; 30-Day Pilot Roadmap</w:t>
      </w:r>
    </w:p>
    <w:p>
      <w:pPr>
        <w:jc w:val="center"/>
      </w:pPr>
      <w:r>
        <w:rPr>
          <w:sz w:val="24"/>
        </w:rPr>
        <w:br/>
        <w:t>Production-oriented SaaS plan for an India-first, Tally-integrated AI finance product</w:t>
      </w:r>
    </w:p>
    <w:p/>
    <w:tbl>
      <w:tblPr>
        <w:tblStyle w:val="TableGrid"/>
        <w:tblW w:type="auto" w:w="0"/>
        <w:tblLook w:firstColumn="1" w:firstRow="1" w:lastColumn="0" w:lastRow="0" w:noHBand="0" w:noVBand="1" w:val="04A0"/>
      </w:tblPr>
      <w:tblGrid>
        <w:gridCol w:w="9994"/>
      </w:tblGrid>
      <w:tr>
        <w:tc>
          <w:tcPr>
            <w:tcW w:type="dxa" w:w="9994"/>
            <w:shd w:fill="EAF2F8"/>
          </w:tcPr>
          <w:p>
            <w:r/>
            <w:r>
              <w:rPr>
                <w:b/>
                <w:color w:val="17365D"/>
              </w:rPr>
              <w:t>PROJECT PARAMETERS</w:t>
              <w:br/>
            </w:r>
            <w:r>
              <w:t>Reference competitor: Riko AI (https://rikoai.in/)  |  Current prototype: E-Munshi (http://emunshie.com/)</w:t>
              <w:br/>
              <w:t>Reference repository: https://github.com/dhananjay1405/tally-mcp-server.git</w:t>
              <w:br/>
              <w:t>Build budget: ₹50,000–₹1,00,000  |  Deadline: 30 days  |  Goal: working pilot with real users and financial files</w:t>
              <w:br/>
              <w:t>Initial channel: Web application  |  Team: existing engineering team (skills/capacity to confirm)</w:t>
            </w:r>
          </w:p>
        </w:tc>
      </w:tr>
    </w:tbl>
    <w:p/>
    <w:p>
      <w:r>
        <w:t>Prepared: 23 October 2026</w:t>
      </w:r>
    </w:p>
    <w:p>
      <w:r>
        <w:t>Purpose: consolidate the product direction, proposed architecture, technical decisions, costs, delivery plan, security requirements, and immediate next steps into one working document.</w:t>
      </w:r>
    </w:p>
    <w:p>
      <w:r>
        <w:br w:type="page"/>
      </w:r>
    </w:p>
    <w:p>
      <w:pPr>
        <w:pStyle w:val="Heading1"/>
      </w:pPr>
      <w:r>
        <w:t>1. Executive Summary</w:t>
      </w:r>
    </w:p>
    <w:p>
      <w:r>
        <w:t>E-Munshi should be built as a production-oriented, multi-tenant SaaS web application with a Windows-based Tally connector, a deterministic financial data engine, and AI-assisted workflows. The first-month goal should be a controlled pilot—not full parity with every Riko AI feature.</w:t>
      </w:r>
    </w:p>
    <w:p>
      <w:r>
        <w:t>The recommended foundation is a TypeScript modular monolith, PostgreSQL, a narrowly scoped Tally integration adapter based on the supplied MCP repository, deterministic calculations for authoritative financial values, and an AI orchestration layer that can call only approved tools.</w:t>
      </w:r>
    </w:p>
    <w:tbl>
      <w:tblPr>
        <w:tblStyle w:val="TableGrid"/>
        <w:tblW w:type="auto" w:w="0"/>
        <w:tblLook w:firstColumn="1" w:firstRow="1" w:lastColumn="0" w:lastRow="0" w:noHBand="0" w:noVBand="1" w:val="04A0"/>
      </w:tblPr>
      <w:tblGrid>
        <w:gridCol w:w="9994"/>
      </w:tblGrid>
      <w:tr>
        <w:tc>
          <w:tcPr>
            <w:tcW w:type="dxa" w:w="9994"/>
            <w:shd w:fill="EAF2F8"/>
          </w:tcPr>
          <w:p>
            <w:r/>
            <w:r>
              <w:rPr>
                <w:b/>
                <w:color w:val="17365D"/>
              </w:rPr>
              <w:t>CORE PRINCIPLE</w:t>
              <w:br/>
            </w:r>
            <w:r>
              <w:t>AI interprets questions and explains verified results. Deterministic application code calculates authoritative figures. Every answer should be traceable to a company, reporting period, data source, and calculation.</w:t>
            </w:r>
          </w:p>
        </w:tc>
      </w:tr>
    </w:tbl>
    <w:p/>
    <w:p>
      <w:pPr>
        <w:pStyle w:val="Heading2"/>
      </w:pPr>
      <w:r>
        <w:t>1.1 Project inputs</w:t>
      </w:r>
    </w:p>
    <w:tbl>
      <w:tblPr>
        <w:tblStyle w:val="LightShading-Accent1"/>
        <w:tblW w:type="auto" w:w="0"/>
        <w:tblLayout w:type="autofit"/>
        <w:tblLook w:firstColumn="1" w:firstRow="1" w:lastColumn="0" w:lastRow="0" w:noHBand="0" w:noVBand="1" w:val="04A0"/>
      </w:tblPr>
      <w:tblGrid>
        <w:gridCol w:w="4997"/>
        <w:gridCol w:w="4997"/>
      </w:tblGrid>
      <w:tr>
        <w:tc>
          <w:tcPr>
            <w:tcW w:type="dxa" w:w="4997"/>
            <w:shd w:fill="17365D"/>
          </w:tcPr>
          <w:p>
            <w:r>
              <w:rPr>
                <w:b/>
                <w:color w:val="FFFFFF"/>
              </w:rPr>
              <w:t>Item</w:t>
            </w:r>
          </w:p>
        </w:tc>
        <w:tc>
          <w:tcPr>
            <w:tcW w:type="dxa" w:w="4997"/>
            <w:shd w:fill="17365D"/>
          </w:tcPr>
          <w:p>
            <w:r>
              <w:rPr>
                <w:b/>
                <w:color w:val="FFFFFF"/>
              </w:rPr>
              <w:t>Current understanding</w:t>
            </w:r>
          </w:p>
        </w:tc>
      </w:tr>
      <w:tr>
        <w:tc>
          <w:tcPr>
            <w:tcW w:type="dxa" w:w="4997"/>
          </w:tcPr>
          <w:p>
            <w:pPr>
              <w:spacing w:after="40"/>
            </w:pPr>
            <w:r>
              <w:rPr>
                <w:sz w:val="17"/>
              </w:rPr>
              <w:t>Reference competitor</w:t>
            </w:r>
          </w:p>
        </w:tc>
        <w:tc>
          <w:tcPr>
            <w:tcW w:type="dxa" w:w="4997"/>
          </w:tcPr>
          <w:p>
            <w:pPr>
              <w:spacing w:after="40"/>
            </w:pPr>
            <w:r>
              <w:rPr>
                <w:sz w:val="17"/>
              </w:rPr>
              <w:t>Riko AI — https://rikoai.in/</w:t>
            </w:r>
          </w:p>
        </w:tc>
      </w:tr>
      <w:tr>
        <w:tc>
          <w:tcPr>
            <w:tcW w:type="dxa" w:w="4997"/>
          </w:tcPr>
          <w:p>
            <w:pPr>
              <w:spacing w:after="40"/>
            </w:pPr>
            <w:r>
              <w:rPr>
                <w:sz w:val="17"/>
              </w:rPr>
              <w:t>Existing product prototype</w:t>
            </w:r>
          </w:p>
        </w:tc>
        <w:tc>
          <w:tcPr>
            <w:tcW w:type="dxa" w:w="4997"/>
          </w:tcPr>
          <w:p>
            <w:pPr>
              <w:spacing w:after="40"/>
            </w:pPr>
            <w:r>
              <w:rPr>
                <w:sz w:val="17"/>
              </w:rPr>
              <w:t>E-Munshi — http://emunshie.com/</w:t>
            </w:r>
          </w:p>
        </w:tc>
      </w:tr>
      <w:tr>
        <w:tc>
          <w:tcPr>
            <w:tcW w:type="dxa" w:w="4997"/>
          </w:tcPr>
          <w:p>
            <w:pPr>
              <w:spacing w:after="40"/>
            </w:pPr>
            <w:r>
              <w:rPr>
                <w:sz w:val="17"/>
              </w:rPr>
              <w:t>Tally integration candidate</w:t>
            </w:r>
          </w:p>
        </w:tc>
        <w:tc>
          <w:tcPr>
            <w:tcW w:type="dxa" w:w="4997"/>
          </w:tcPr>
          <w:p>
            <w:pPr>
              <w:spacing w:after="40"/>
            </w:pPr>
            <w:r>
              <w:rPr>
                <w:sz w:val="17"/>
              </w:rPr>
              <w:t>https://github.com/dhananjay1405/tally-mcp-server.git</w:t>
            </w:r>
          </w:p>
        </w:tc>
      </w:tr>
      <w:tr>
        <w:tc>
          <w:tcPr>
            <w:tcW w:type="dxa" w:w="4997"/>
          </w:tcPr>
          <w:p>
            <w:pPr>
              <w:spacing w:after="40"/>
            </w:pPr>
            <w:r>
              <w:rPr>
                <w:sz w:val="17"/>
              </w:rPr>
              <w:t>Scope selected</w:t>
            </w:r>
          </w:p>
        </w:tc>
        <w:tc>
          <w:tcPr>
            <w:tcW w:type="dxa" w:w="4997"/>
          </w:tcPr>
          <w:p>
            <w:pPr>
              <w:spacing w:after="40"/>
            </w:pPr>
            <w:r>
              <w:rPr>
                <w:sz w:val="17"/>
              </w:rPr>
              <w:t>Tally-focused product: Tally integration, finance chat, dashboards and reports</w:t>
            </w:r>
          </w:p>
        </w:tc>
      </w:tr>
      <w:tr>
        <w:tc>
          <w:tcPr>
            <w:tcW w:type="dxa" w:w="4997"/>
          </w:tcPr>
          <w:p>
            <w:pPr>
              <w:spacing w:after="40"/>
            </w:pPr>
            <w:r>
              <w:rPr>
                <w:sz w:val="17"/>
              </w:rPr>
              <w:t>One-time build budget</w:t>
            </w:r>
          </w:p>
        </w:tc>
        <w:tc>
          <w:tcPr>
            <w:tcW w:type="dxa" w:w="4997"/>
          </w:tcPr>
          <w:p>
            <w:pPr>
              <w:spacing w:after="40"/>
            </w:pPr>
            <w:r>
              <w:rPr>
                <w:sz w:val="17"/>
              </w:rPr>
              <w:t>₹50,000–₹1,00,000</w:t>
            </w:r>
          </w:p>
        </w:tc>
      </w:tr>
      <w:tr>
        <w:tc>
          <w:tcPr>
            <w:tcW w:type="dxa" w:w="4997"/>
          </w:tcPr>
          <w:p>
            <w:pPr>
              <w:spacing w:after="40"/>
            </w:pPr>
            <w:r>
              <w:rPr>
                <w:sz w:val="17"/>
              </w:rPr>
              <w:t>Team</w:t>
            </w:r>
          </w:p>
        </w:tc>
        <w:tc>
          <w:tcPr>
            <w:tcW w:type="dxa" w:w="4997"/>
          </w:tcPr>
          <w:p>
            <w:pPr>
              <w:spacing w:after="40"/>
            </w:pPr>
            <w:r>
              <w:rPr>
                <w:sz w:val="17"/>
              </w:rPr>
              <w:t>Existing team; exact skills and capacity not yet confirmed</w:t>
            </w:r>
          </w:p>
        </w:tc>
      </w:tr>
      <w:tr>
        <w:tc>
          <w:tcPr>
            <w:tcW w:type="dxa" w:w="4997"/>
          </w:tcPr>
          <w:p>
            <w:pPr>
              <w:spacing w:after="40"/>
            </w:pPr>
            <w:r>
              <w:rPr>
                <w:sz w:val="17"/>
              </w:rPr>
              <w:t>Current prototype stack</w:t>
            </w:r>
          </w:p>
        </w:tc>
        <w:tc>
          <w:tcPr>
            <w:tcW w:type="dxa" w:w="4997"/>
          </w:tcPr>
          <w:p>
            <w:pPr>
              <w:spacing w:after="40"/>
            </w:pPr>
            <w:r>
              <w:rPr>
                <w:sz w:val="17"/>
              </w:rPr>
              <w:t>Unknown; audit required</w:t>
            </w:r>
          </w:p>
        </w:tc>
      </w:tr>
      <w:tr>
        <w:tc>
          <w:tcPr>
            <w:tcW w:type="dxa" w:w="4997"/>
          </w:tcPr>
          <w:p>
            <w:pPr>
              <w:spacing w:after="40"/>
            </w:pPr>
            <w:r>
              <w:rPr>
                <w:sz w:val="17"/>
              </w:rPr>
              <w:t>Deadline / goal</w:t>
            </w:r>
          </w:p>
        </w:tc>
        <w:tc>
          <w:tcPr>
            <w:tcW w:type="dxa" w:w="4997"/>
          </w:tcPr>
          <w:p>
            <w:pPr>
              <w:spacing w:after="40"/>
            </w:pPr>
            <w:r>
              <w:rPr>
                <w:sz w:val="17"/>
              </w:rPr>
              <w:t>30 days; working pilot</w:t>
            </w:r>
          </w:p>
        </w:tc>
      </w:tr>
      <w:tr>
        <w:tc>
          <w:tcPr>
            <w:tcW w:type="dxa" w:w="4997"/>
          </w:tcPr>
          <w:p>
            <w:pPr>
              <w:spacing w:after="40"/>
            </w:pPr>
            <w:r>
              <w:rPr>
                <w:sz w:val="17"/>
              </w:rPr>
              <w:t>Initial channel</w:t>
            </w:r>
          </w:p>
        </w:tc>
        <w:tc>
          <w:tcPr>
            <w:tcW w:type="dxa" w:w="4997"/>
          </w:tcPr>
          <w:p>
            <w:pPr>
              <w:spacing w:after="40"/>
            </w:pPr>
            <w:r>
              <w:rPr>
                <w:sz w:val="17"/>
              </w:rPr>
              <w:t>Web application</w:t>
            </w:r>
          </w:p>
        </w:tc>
      </w:tr>
    </w:tbl>
    <w:p>
      <w:pPr>
        <w:spacing w:after="20"/>
      </w:pPr>
    </w:p>
    <w:p>
      <w:pPr>
        <w:pStyle w:val="Heading2"/>
      </w:pPr>
      <w:r>
        <w:t>1.2 Success definition</w:t>
      </w:r>
    </w:p>
    <w:p>
      <w:pPr>
        <w:pStyle w:val="ListBullet"/>
        <w:spacing w:after="40"/>
      </w:pPr>
      <w:r>
        <w:t>A small pilot group can securely sign in, connect a supported TallyPrime installation, select a company, and retrieve agreed reports.</w:t>
      </w:r>
    </w:p>
    <w:p>
      <w:pPr>
        <w:pStyle w:val="ListBullet"/>
        <w:spacing w:after="40"/>
      </w:pPr>
      <w:r>
        <w:t>Financial figures reconcile with reference outputs from Tally for agreed test periods.</w:t>
      </w:r>
    </w:p>
    <w:p>
      <w:pPr>
        <w:pStyle w:val="ListBullet"/>
        <w:spacing w:after="40"/>
      </w:pPr>
      <w:r>
        <w:t>Supported natural-language questions return tool-backed answers with source information and freshness indicators.</w:t>
      </w:r>
    </w:p>
    <w:p>
      <w:pPr>
        <w:pStyle w:val="ListBullet"/>
        <w:spacing w:after="40"/>
      </w:pPr>
      <w:r>
        <w:t>Cross-tenant access is blocked and tested; report generation and synchronization failures can be recovered.</w:t>
      </w:r>
    </w:p>
    <w:p>
      <w:pPr>
        <w:pStyle w:val="ListBullet"/>
        <w:spacing w:after="40"/>
      </w:pPr>
      <w:r>
        <w:t>The team can deploy, monitor, support, and update the product without relying on an opaque AI-generated codebase.</w:t>
      </w:r>
    </w:p>
    <w:p>
      <w:pPr>
        <w:pStyle w:val="Heading2"/>
      </w:pPr>
      <w:r>
        <w:t>1.3 Important constraints</w:t>
      </w:r>
    </w:p>
    <w:p>
      <w:pPr>
        <w:pStyle w:val="ListBullet"/>
        <w:spacing w:after="40"/>
      </w:pPr>
      <w:r>
        <w:t>The budget is plausible only for a constrained scope and an existing team or founder-led engineering. It is not a guarantee of market-rate agency delivery.</w:t>
      </w:r>
    </w:p>
    <w:p>
      <w:pPr>
        <w:pStyle w:val="ListBullet"/>
        <w:spacing w:after="40"/>
      </w:pPr>
      <w:r>
        <w:t>One month is aggressive for a robust live Tally connector, SaaS backend, AI workflows, and security testing. Parallel work and tight scope are essential.</w:t>
      </w:r>
    </w:p>
    <w:p>
      <w:pPr>
        <w:pStyle w:val="ListBullet"/>
        <w:spacing w:after="40"/>
      </w:pPr>
      <w:r>
        <w:t>The repository's actual source code, license, dependencies, and runtime behaviour must be reviewed before deciding how to reuse it.</w:t>
      </w:r>
    </w:p>
    <w:p>
      <w:r>
        <w:br w:type="page"/>
      </w:r>
    </w:p>
    <w:p>
      <w:pPr>
        <w:pStyle w:val="Heading1"/>
      </w:pPr>
      <w:r>
        <w:t>2. Product and Competitor Understanding</w:t>
      </w:r>
    </w:p>
    <w:p>
      <w:r>
        <w:t>The public product positioning indicates that Riko AI is more than a chatbot: it focuses on an AI-powered finance/accounting layer connected to Tally, with financial questions, reports, workpacks, approvals, and generated deliverables. E-Munshi's current prototype appears more upload-oriented, emphasizing Excel/CSV and financial records, validation, and insights.</w:t>
      </w:r>
    </w:p>
    <w:tbl>
      <w:tblPr>
        <w:tblStyle w:val="LightShading-Accent1"/>
        <w:tblW w:type="auto" w:w="0"/>
        <w:tblLayout w:type="autofit"/>
        <w:tblLook w:firstColumn="1" w:firstRow="1" w:lastColumn="0" w:lastRow="0" w:noHBand="0" w:noVBand="1" w:val="04A0"/>
      </w:tblPr>
      <w:tblGrid>
        <w:gridCol w:w="4997"/>
        <w:gridCol w:w="4997"/>
      </w:tblGrid>
      <w:tr>
        <w:tc>
          <w:tcPr>
            <w:tcW w:type="dxa" w:w="4997"/>
            <w:shd w:fill="17365D"/>
          </w:tcPr>
          <w:p>
            <w:r>
              <w:rPr>
                <w:b/>
                <w:color w:val="FFFFFF"/>
              </w:rPr>
              <w:t>Product area</w:t>
            </w:r>
          </w:p>
        </w:tc>
        <w:tc>
          <w:tcPr>
            <w:tcW w:type="dxa" w:w="4997"/>
            <w:shd w:fill="17365D"/>
          </w:tcPr>
          <w:p>
            <w:r>
              <w:rPr>
                <w:b/>
                <w:color w:val="FFFFFF"/>
              </w:rPr>
              <w:t>Potential requirement for E-Munshi</w:t>
            </w:r>
          </w:p>
        </w:tc>
      </w:tr>
      <w:tr>
        <w:tc>
          <w:tcPr>
            <w:tcW w:type="dxa" w:w="4997"/>
          </w:tcPr>
          <w:p>
            <w:pPr>
              <w:spacing w:after="40"/>
            </w:pPr>
            <w:r>
              <w:rPr>
                <w:sz w:val="17"/>
              </w:rPr>
              <w:t>Tally integration</w:t>
            </w:r>
          </w:p>
        </w:tc>
        <w:tc>
          <w:tcPr>
            <w:tcW w:type="dxa" w:w="4997"/>
          </w:tcPr>
          <w:p>
            <w:pPr>
              <w:spacing w:after="40"/>
            </w:pPr>
            <w:r>
              <w:rPr>
                <w:sz w:val="17"/>
              </w:rPr>
              <w:t>Read and synchronize accounting data; identify installation and company; monitor connection health.</w:t>
            </w:r>
          </w:p>
        </w:tc>
      </w:tr>
      <w:tr>
        <w:tc>
          <w:tcPr>
            <w:tcW w:type="dxa" w:w="4997"/>
          </w:tcPr>
          <w:p>
            <w:pPr>
              <w:spacing w:after="40"/>
            </w:pPr>
            <w:r>
              <w:rPr>
                <w:sz w:val="17"/>
              </w:rPr>
              <w:t>AI finance chat</w:t>
            </w:r>
          </w:p>
        </w:tc>
        <w:tc>
          <w:tcPr>
            <w:tcW w:type="dxa" w:w="4997"/>
          </w:tcPr>
          <w:p>
            <w:pPr>
              <w:spacing w:after="40"/>
            </w:pPr>
            <w:r>
              <w:rPr>
                <w:sz w:val="17"/>
              </w:rPr>
              <w:t>Ask questions in plain English and receive answers computed from real financial records.</w:t>
            </w:r>
          </w:p>
        </w:tc>
      </w:tr>
      <w:tr>
        <w:tc>
          <w:tcPr>
            <w:tcW w:type="dxa" w:w="4997"/>
          </w:tcPr>
          <w:p>
            <w:pPr>
              <w:spacing w:after="40"/>
            </w:pPr>
            <w:r>
              <w:rPr>
                <w:sz w:val="17"/>
              </w:rPr>
              <w:t>Reports and dashboards</w:t>
            </w:r>
          </w:p>
        </w:tc>
        <w:tc>
          <w:tcPr>
            <w:tcW w:type="dxa" w:w="4997"/>
          </w:tcPr>
          <w:p>
            <w:pPr>
              <w:spacing w:after="40"/>
            </w:pPr>
            <w:r>
              <w:rPr>
                <w:sz w:val="17"/>
              </w:rPr>
              <w:t>Sales, P&amp;L, balance sheet, cash position, receivables, payables, inventory and ledger details.</w:t>
            </w:r>
          </w:p>
        </w:tc>
      </w:tr>
      <w:tr>
        <w:tc>
          <w:tcPr>
            <w:tcW w:type="dxa" w:w="4997"/>
          </w:tcPr>
          <w:p>
            <w:pPr>
              <w:spacing w:after="40"/>
            </w:pPr>
            <w:r>
              <w:rPr>
                <w:sz w:val="17"/>
              </w:rPr>
              <w:t>Accounting workpacks</w:t>
            </w:r>
          </w:p>
        </w:tc>
        <w:tc>
          <w:tcPr>
            <w:tcW w:type="dxa" w:w="4997"/>
          </w:tcPr>
          <w:p>
            <w:pPr>
              <w:spacing w:after="40"/>
            </w:pPr>
            <w:r>
              <w:rPr>
                <w:sz w:val="17"/>
              </w:rPr>
              <w:t>MIS generation, bank/GST reconciliation, and month-end workflows, phased by priority.</w:t>
            </w:r>
          </w:p>
        </w:tc>
      </w:tr>
      <w:tr>
        <w:tc>
          <w:tcPr>
            <w:tcW w:type="dxa" w:w="4997"/>
          </w:tcPr>
          <w:p>
            <w:pPr>
              <w:spacing w:after="40"/>
            </w:pPr>
            <w:r>
              <w:rPr>
                <w:sz w:val="17"/>
              </w:rPr>
              <w:t>Approvals and actions</w:t>
            </w:r>
          </w:p>
        </w:tc>
        <w:tc>
          <w:tcPr>
            <w:tcW w:type="dxa" w:w="4997"/>
          </w:tcPr>
          <w:p>
            <w:pPr>
              <w:spacing w:after="40"/>
            </w:pPr>
            <w:r>
              <w:rPr>
                <w:sz w:val="17"/>
              </w:rPr>
              <w:t>Review, edit, approve or reject proposed financial actions; no write-back in initial pilot.</w:t>
            </w:r>
          </w:p>
        </w:tc>
      </w:tr>
      <w:tr>
        <w:tc>
          <w:tcPr>
            <w:tcW w:type="dxa" w:w="4997"/>
          </w:tcPr>
          <w:p>
            <w:pPr>
              <w:spacing w:after="40"/>
            </w:pPr>
            <w:r>
              <w:rPr>
                <w:sz w:val="17"/>
              </w:rPr>
              <w:t>Document generation</w:t>
            </w:r>
          </w:p>
        </w:tc>
        <w:tc>
          <w:tcPr>
            <w:tcW w:type="dxa" w:w="4997"/>
          </w:tcPr>
          <w:p>
            <w:pPr>
              <w:spacing w:after="40"/>
            </w:pPr>
            <w:r>
              <w:rPr>
                <w:sz w:val="17"/>
              </w:rPr>
              <w:t>Downloadable Excel/CSV/PDF deliverables where practical.</w:t>
            </w:r>
          </w:p>
        </w:tc>
      </w:tr>
      <w:tr>
        <w:tc>
          <w:tcPr>
            <w:tcW w:type="dxa" w:w="4997"/>
          </w:tcPr>
          <w:p>
            <w:pPr>
              <w:spacing w:after="40"/>
            </w:pPr>
            <w:r>
              <w:rPr>
                <w:sz w:val="17"/>
              </w:rPr>
              <w:t>Notifications</w:t>
            </w:r>
          </w:p>
        </w:tc>
        <w:tc>
          <w:tcPr>
            <w:tcW w:type="dxa" w:w="4997"/>
          </w:tcPr>
          <w:p>
            <w:pPr>
              <w:spacing w:after="40"/>
            </w:pPr>
            <w:r>
              <w:rPr>
                <w:sz w:val="17"/>
              </w:rPr>
              <w:t>Payment reminders and potentially WhatsApp workflows in a later phase.</w:t>
            </w:r>
          </w:p>
        </w:tc>
      </w:tr>
      <w:tr>
        <w:tc>
          <w:tcPr>
            <w:tcW w:type="dxa" w:w="4997"/>
          </w:tcPr>
          <w:p>
            <w:pPr>
              <w:spacing w:after="40"/>
            </w:pPr>
            <w:r>
              <w:rPr>
                <w:sz w:val="17"/>
              </w:rPr>
              <w:t>Security and auditability</w:t>
            </w:r>
          </w:p>
        </w:tc>
        <w:tc>
          <w:tcPr>
            <w:tcW w:type="dxa" w:w="4997"/>
          </w:tcPr>
          <w:p>
            <w:pPr>
              <w:spacing w:after="40"/>
            </w:pPr>
            <w:r>
              <w:rPr>
                <w:sz w:val="17"/>
              </w:rPr>
              <w:t>Company-level isolation, permissions, source tracing, audit events and controlled access.</w:t>
            </w:r>
          </w:p>
        </w:tc>
      </w:tr>
    </w:tbl>
    <w:p>
      <w:pPr>
        <w:spacing w:after="20"/>
      </w:pPr>
    </w:p>
    <w:p>
      <w:r>
        <w:t>Reference links: Riko AI — https://rikoai.in/ ; features — https://rikoai.in/features ; FAQ — https://rikoai.in/faq. These public pages are useful for product discovery, but should be rechecked directly during the audit. Exact feature parity should not be assumed from marketing pages alone.</w:t>
      </w:r>
    </w:p>
    <w:p>
      <w:pPr>
        <w:pStyle w:val="Heading2"/>
      </w:pPr>
      <w:r>
        <w:t>2.1 The key product distinction</w:t>
      </w:r>
    </w:p>
    <w:p>
      <w:r>
        <w:t>E-Munshi's current prototype appears oriented toward file uploads, data validation, analytics, and AI finance chat. Riko's broader positioning emphasizes ongoing Tally connectivity, accounting queries, workpacks, approvals, and deliverables. This distinction affects architecture, time, and cost.</w:t>
      </w:r>
    </w:p>
    <w:tbl>
      <w:tblPr>
        <w:tblStyle w:val="TableGrid"/>
        <w:tblW w:type="auto" w:w="0"/>
        <w:tblLook w:firstColumn="1" w:firstRow="1" w:lastColumn="0" w:lastRow="0" w:noHBand="0" w:noVBand="1" w:val="04A0"/>
      </w:tblPr>
      <w:tblGrid>
        <w:gridCol w:w="9994"/>
      </w:tblGrid>
      <w:tr>
        <w:tc>
          <w:tcPr>
            <w:tcW w:type="dxa" w:w="9994"/>
            <w:shd w:fill="EAF2F8"/>
          </w:tcPr>
          <w:p>
            <w:r/>
            <w:r>
              <w:rPr>
                <w:b/>
                <w:color w:val="17365D"/>
              </w:rPr>
              <w:t>PRODUCT STRATEGY</w:t>
              <w:br/>
            </w:r>
            <w:r>
              <w:t>Build the smallest reliable end-to-end Tally-connected workflow first. Add feature parity incrementally after report accuracy, connector reliability, tenant security, and the core user journey are proven.</w:t>
            </w:r>
          </w:p>
        </w:tc>
      </w:tr>
    </w:tbl>
    <w:p/>
    <w:p>
      <w:pPr>
        <w:pStyle w:val="Heading2"/>
      </w:pPr>
      <w:r>
        <w:t>2.2 Suggested pilot scope</w:t>
      </w:r>
    </w:p>
    <w:p>
      <w:pPr>
        <w:pStyle w:val="Heading3"/>
      </w:pPr>
      <w:r>
        <w:t>P0 — Must ship</w:t>
      </w:r>
    </w:p>
    <w:p>
      <w:pPr>
        <w:pStyle w:val="ListBullet"/>
        <w:spacing w:after="40"/>
      </w:pPr>
      <w:r>
        <w:t>Organization and user onboarding; sign-in; membership roles; company selection.</w:t>
      </w:r>
    </w:p>
    <w:p>
      <w:pPr>
        <w:pStyle w:val="ListBullet"/>
        <w:spacing w:after="40"/>
      </w:pPr>
      <w:r>
        <w:t>Secure Windows connector pairing and connection-health status.</w:t>
      </w:r>
    </w:p>
    <w:p>
      <w:pPr>
        <w:pStyle w:val="ListBullet"/>
        <w:spacing w:after="40"/>
      </w:pPr>
      <w:r>
        <w:t>Tally data retrieval for a defined set of financial reports.</w:t>
      </w:r>
    </w:p>
    <w:p>
      <w:pPr>
        <w:pStyle w:val="ListBullet"/>
        <w:spacing w:after="40"/>
      </w:pPr>
      <w:r>
        <w:t>Trial balance, profit and loss, balance sheet, receivables/payables, and ledger statements, subject to connector validation.</w:t>
      </w:r>
    </w:p>
    <w:p>
      <w:pPr>
        <w:pStyle w:val="ListBullet"/>
        <w:spacing w:after="40"/>
      </w:pPr>
      <w:r>
        <w:t>Financial dashboard with date filters, source information, and clear loading/error/empty states.</w:t>
      </w:r>
    </w:p>
    <w:p>
      <w:pPr>
        <w:pStyle w:val="ListBullet"/>
        <w:spacing w:after="40"/>
      </w:pPr>
      <w:r>
        <w:t>Natural-language questions mapped to approved report tools.</w:t>
      </w:r>
    </w:p>
    <w:p>
      <w:pPr>
        <w:pStyle w:val="ListBullet"/>
        <w:spacing w:after="40"/>
      </w:pPr>
      <w:r>
        <w:t>CSV/Excel exports where practical.</w:t>
      </w:r>
    </w:p>
    <w:p>
      <w:pPr>
        <w:pStyle w:val="ListBullet"/>
        <w:spacing w:after="40"/>
      </w:pPr>
      <w:r>
        <w:t>Audit logs, retries, backups, monitoring, and automated tests.</w:t>
      </w:r>
    </w:p>
    <w:p>
      <w:pPr>
        <w:pStyle w:val="Heading3"/>
      </w:pPr>
      <w:r>
        <w:t>P1 — Only after P0 is reliable</w:t>
      </w:r>
    </w:p>
    <w:p>
      <w:pPr>
        <w:pStyle w:val="ListBullet"/>
        <w:spacing w:after="40"/>
      </w:pPr>
      <w:r>
        <w:t>One polished workpack, such as monthly MIS.</w:t>
      </w:r>
    </w:p>
    <w:p>
      <w:pPr>
        <w:pStyle w:val="ListBullet"/>
        <w:spacing w:after="40"/>
      </w:pPr>
      <w:r>
        <w:t>Cached reporting data for faster repeat queries.</w:t>
      </w:r>
    </w:p>
    <w:p>
      <w:pPr>
        <w:pStyle w:val="ListBullet"/>
        <w:spacing w:after="40"/>
      </w:pPr>
      <w:r>
        <w:t>Chat follow-ups and saved reports.</w:t>
      </w:r>
    </w:p>
    <w:p>
      <w:pPr>
        <w:pStyle w:val="ListBullet"/>
        <w:spacing w:after="40"/>
      </w:pPr>
      <w:r>
        <w:t>Ledger drill-down and overdue summaries.</w:t>
      </w:r>
    </w:p>
    <w:p>
      <w:pPr>
        <w:pStyle w:val="ListBullet"/>
        <w:spacing w:after="40"/>
      </w:pPr>
      <w:r>
        <w:t>Connection diagnostics for users and support.</w:t>
      </w:r>
    </w:p>
    <w:p>
      <w:pPr>
        <w:pStyle w:val="Heading3"/>
      </w:pPr>
      <w:r>
        <w:t>P2 — Post-pilot roadmap</w:t>
      </w:r>
    </w:p>
    <w:p>
      <w:pPr>
        <w:pStyle w:val="ListBullet"/>
        <w:spacing w:after="40"/>
      </w:pPr>
      <w:r>
        <w:t>Tally write-back and voucher creation.</w:t>
      </w:r>
    </w:p>
    <w:p>
      <w:pPr>
        <w:pStyle w:val="ListBullet"/>
        <w:spacing w:after="40"/>
      </w:pPr>
      <w:r>
        <w:t>Automated bank and GST reconciliation with exception handling.</w:t>
      </w:r>
    </w:p>
    <w:p>
      <w:pPr>
        <w:pStyle w:val="ListBullet"/>
        <w:spacing w:after="40"/>
      </w:pPr>
      <w:r>
        <w:t>Full workpack catalogue.</w:t>
      </w:r>
    </w:p>
    <w:p>
      <w:pPr>
        <w:pStyle w:val="ListBullet"/>
        <w:spacing w:after="40"/>
      </w:pPr>
      <w:r>
        <w:t>WhatsApp, mobile apps, subscription/billing automation.</w:t>
      </w:r>
    </w:p>
    <w:p>
      <w:pPr>
        <w:pStyle w:val="ListBullet"/>
        <w:spacing w:after="40"/>
      </w:pPr>
      <w:r>
        <w:t>Enterprise SSO, advanced CA-firm administration, and advanced analytics.</w:t>
      </w:r>
    </w:p>
    <w:p>
      <w:r>
        <w:br w:type="page"/>
      </w:r>
    </w:p>
    <w:p>
      <w:pPr>
        <w:pStyle w:val="Heading1"/>
      </w:pPr>
      <w:r>
        <w:t>3. Using the Tally MCP Server Repository</w:t>
      </w:r>
    </w:p>
    <w:p>
      <w:r>
        <w:t>Repository: https://github.com/dhananjay1405/tally-mcp-server.git</w:t>
      </w:r>
    </w:p>
    <w:p>
      <w:r>
        <w:t>The repository's published README describes a Node.js/TypeScript Model Context Protocol (MCP) server that communicates with TallyPrime through its XML-over-HTTP interface. Report/tool coverage described publicly includes trial balance, profit and loss, balance sheet, outstanding bills, ledger statements, stock balances, and master data. The exact implementation must be verified against the current source.</w:t>
      </w:r>
    </w:p>
    <w:p>
      <w:pPr>
        <w:pStyle w:val="Heading2"/>
      </w:pPr>
      <w:r>
        <w:t>3.1 What MCP means</w:t>
      </w:r>
    </w:p>
    <w:p>
      <w:r>
        <w:t>MCP is a protocol for exposing tools to compatible AI clients. It is not, by itself, a complete multi-tenant SaaS backend or a secure customer accounting platform. The web product can use ordinary typed APIs and an internal adapter to retrieve reports and run calculations; the whole product does not need an MCP round-trip for every calculation.</w:t>
      </w:r>
    </w:p>
    <w:p>
      <w:pPr>
        <w:pStyle w:val="Heading2"/>
      </w:pPr>
      <w:r>
        <w:t>3.2 Recommended reuse approach</w:t>
      </w:r>
    </w:p>
    <w:p>
      <w:pPr>
        <w:pStyle w:val="ListNumber"/>
        <w:spacing w:after="40"/>
      </w:pPr>
      <w:r>
        <w:t>Clone and inspect the repository, run it locally, map each tool to its source implementation, and identify the Tally communication layer.</w:t>
      </w:r>
    </w:p>
    <w:p>
      <w:pPr>
        <w:pStyle w:val="ListNumber"/>
        <w:spacing w:after="40"/>
      </w:pPr>
      <w:r>
        <w:t>Review the license and dependency terms before adapting or distributing the code.</w:t>
      </w:r>
    </w:p>
    <w:p>
      <w:pPr>
        <w:pStyle w:val="ListNumber"/>
        <w:spacing w:after="40"/>
      </w:pPr>
      <w:r>
        <w:t>Review remote authentication, secrets, company selection, caching, error handling, and write-capable tools.</w:t>
      </w:r>
    </w:p>
    <w:p>
      <w:pPr>
        <w:pStyle w:val="ListNumber"/>
        <w:spacing w:after="40"/>
      </w:pPr>
      <w:r>
        <w:t>Prefer extracting reusable Tally communication and report logic into a dedicated connector package with a narrow read-only interface.</w:t>
      </w:r>
    </w:p>
    <w:p>
      <w:pPr>
        <w:pStyle w:val="ListNumber"/>
        <w:spacing w:after="40"/>
      </w:pPr>
      <w:r>
        <w:t>Fallback: run the MCP server as an internal service and expose only a small, explicitly permitted subset of tools through the authenticated E-Munshi backend.</w:t>
      </w:r>
    </w:p>
    <w:p>
      <w:pPr>
        <w:pStyle w:val="ListNumber"/>
        <w:spacing w:after="40"/>
      </w:pPr>
      <w:r>
        <w:t>Build E-Munshi's own tenant management, user roles, permissions, chat history, calculations, jobs, audit logs, and public APIs.</w:t>
      </w:r>
    </w:p>
    <w:p>
      <w:r>
        <w:t>The repository README also describes deployment options including an SSH tunnel. Do not expose Tally's local port 9000 publicly or treat an MCP password page as the product's SaaS authentication system.</w:t>
      </w:r>
    </w:p>
    <w:p>
      <w:pPr>
        <w:pStyle w:val="Heading2"/>
      </w:pPr>
      <w:r>
        <w:t>3.3 What must be validated</w:t>
      </w:r>
    </w:p>
    <w:p>
      <w:pPr>
        <w:pStyle w:val="ListBullet"/>
        <w:spacing w:after="40"/>
      </w:pPr>
      <w:r>
        <w:t>Repository license and permission to adapt/distribute.</w:t>
      </w:r>
    </w:p>
    <w:p>
      <w:pPr>
        <w:pStyle w:val="ListBullet"/>
        <w:spacing w:after="40"/>
      </w:pPr>
      <w:r>
        <w:t>Node.js/TypeScript versions, dependency health, build/test status, and maintenance activity.</w:t>
      </w:r>
    </w:p>
    <w:p>
      <w:pPr>
        <w:pStyle w:val="ListBullet"/>
        <w:spacing w:after="40"/>
      </w:pPr>
      <w:r>
        <w:t>Tally XML request/response behaviour and compatibility with the target TallyPrime configurations.</w:t>
      </w:r>
    </w:p>
    <w:p>
      <w:pPr>
        <w:pStyle w:val="ListBullet"/>
        <w:spacing w:after="40"/>
      </w:pPr>
      <w:r>
        <w:t>Company selection and tenant isolation behaviour.</w:t>
      </w:r>
    </w:p>
    <w:p>
      <w:pPr>
        <w:pStyle w:val="ListBullet"/>
        <w:spacing w:after="40"/>
      </w:pPr>
      <w:r>
        <w:t>Whether read tools are actually read-only and how write tools are gated.</w:t>
      </w:r>
    </w:p>
    <w:p>
      <w:pPr>
        <w:pStyle w:val="ListBullet"/>
        <w:spacing w:after="40"/>
      </w:pPr>
      <w:r>
        <w:t>Authentication, credential handling, logging, retry logic, timeouts, and caching.</w:t>
      </w:r>
    </w:p>
    <w:p>
      <w:pPr>
        <w:pStyle w:val="ListBullet"/>
        <w:spacing w:after="40"/>
      </w:pPr>
      <w:r>
        <w:t>Data formats, numeric precision, date semantics, debit/credit sign conventions, and report reconciliation.</w:t>
      </w:r>
    </w:p>
    <w:tbl>
      <w:tblPr>
        <w:tblStyle w:val="TableGrid"/>
        <w:tblW w:type="auto" w:w="0"/>
        <w:tblLook w:firstColumn="1" w:firstRow="1" w:lastColumn="0" w:lastRow="0" w:noHBand="0" w:noVBand="1" w:val="04A0"/>
      </w:tblPr>
      <w:tblGrid>
        <w:gridCol w:w="9994"/>
      </w:tblGrid>
      <w:tr>
        <w:tc>
          <w:tcPr>
            <w:tcW w:type="dxa" w:w="9994"/>
            <w:shd w:fill="EAF2F8"/>
          </w:tcPr>
          <w:p>
            <w:r/>
            <w:r>
              <w:rPr>
                <w:b/>
                <w:color w:val="17365D"/>
              </w:rPr>
              <w:t>SECURITY DECISION</w:t>
              <w:br/>
            </w:r>
            <w:r>
              <w:t>Disable all write-capable Tally tools in the pilot. The connector should initiate an authenticated outbound connection to the cloud backend; never make the customer's Tally XML port directly reachable from the public internet.</w:t>
            </w:r>
          </w:p>
        </w:tc>
      </w:tr>
    </w:tbl>
    <w:p/>
    <w:p>
      <w:r>
        <w:br w:type="page"/>
      </w:r>
    </w:p>
    <w:p>
      <w:pPr>
        <w:pStyle w:val="Heading1"/>
      </w:pPr>
      <w:r>
        <w:t>4. Target Technical Architecture</w:t>
      </w:r>
    </w:p>
    <w:p>
      <w:pPr>
        <w:pStyle w:val="Heading2"/>
      </w:pPr>
      <w:r>
        <w:t>4.1 Logical architecture</w:t>
      </w:r>
    </w:p>
    <w:tbl>
      <w:tblPr>
        <w:tblStyle w:val="LightShading-Accent1"/>
        <w:tblW w:type="auto" w:w="0"/>
        <w:tblLayout w:type="autofit"/>
        <w:tblLook w:firstColumn="1" w:firstRow="1" w:lastColumn="0" w:lastRow="0" w:noHBand="0" w:noVBand="1" w:val="04A0"/>
      </w:tblPr>
      <w:tblGrid>
        <w:gridCol w:w="3331"/>
        <w:gridCol w:w="3331"/>
        <w:gridCol w:w="3331"/>
      </w:tblGrid>
      <w:tr>
        <w:tc>
          <w:tcPr>
            <w:tcW w:type="dxa" w:w="3331"/>
            <w:shd w:fill="17365D"/>
          </w:tcPr>
          <w:p>
            <w:r>
              <w:rPr>
                <w:b/>
                <w:color w:val="FFFFFF"/>
              </w:rPr>
              <w:t>Layer</w:t>
            </w:r>
          </w:p>
        </w:tc>
        <w:tc>
          <w:tcPr>
            <w:tcW w:type="dxa" w:w="3331"/>
            <w:shd w:fill="17365D"/>
          </w:tcPr>
          <w:p>
            <w:r>
              <w:rPr>
                <w:b/>
                <w:color w:val="FFFFFF"/>
              </w:rPr>
              <w:t>Recommended component</w:t>
            </w:r>
          </w:p>
        </w:tc>
        <w:tc>
          <w:tcPr>
            <w:tcW w:type="dxa" w:w="3331"/>
            <w:shd w:fill="17365D"/>
          </w:tcPr>
          <w:p>
            <w:r>
              <w:rPr>
                <w:b/>
                <w:color w:val="FFFFFF"/>
              </w:rPr>
              <w:t>Responsibilities</w:t>
            </w:r>
          </w:p>
        </w:tc>
      </w:tr>
      <w:tr>
        <w:tc>
          <w:tcPr>
            <w:tcW w:type="dxa" w:w="3331"/>
          </w:tcPr>
          <w:p>
            <w:pPr>
              <w:spacing w:after="40"/>
            </w:pPr>
            <w:r>
              <w:rPr>
                <w:sz w:val="17"/>
              </w:rPr>
              <w:t>Presentation</w:t>
            </w:r>
          </w:p>
        </w:tc>
        <w:tc>
          <w:tcPr>
            <w:tcW w:type="dxa" w:w="3331"/>
          </w:tcPr>
          <w:p>
            <w:pPr>
              <w:spacing w:after="40"/>
            </w:pPr>
            <w:r>
              <w:rPr>
                <w:sz w:val="17"/>
              </w:rPr>
              <w:t>Next.js + TypeScript</w:t>
            </w:r>
          </w:p>
        </w:tc>
        <w:tc>
          <w:tcPr>
            <w:tcW w:type="dxa" w:w="3331"/>
          </w:tcPr>
          <w:p>
            <w:pPr>
              <w:spacing w:after="40"/>
            </w:pPr>
            <w:r>
              <w:rPr>
                <w:sz w:val="17"/>
              </w:rPr>
              <w:t>Dashboard, chat, reports, company switcher, onboarding, approvals and exports UI.</w:t>
            </w:r>
          </w:p>
        </w:tc>
      </w:tr>
      <w:tr>
        <w:tc>
          <w:tcPr>
            <w:tcW w:type="dxa" w:w="3331"/>
          </w:tcPr>
          <w:p>
            <w:pPr>
              <w:spacing w:after="40"/>
            </w:pPr>
            <w:r>
              <w:rPr>
                <w:sz w:val="17"/>
              </w:rPr>
              <w:t>Application API</w:t>
            </w:r>
          </w:p>
        </w:tc>
        <w:tc>
          <w:tcPr>
            <w:tcW w:type="dxa" w:w="3331"/>
          </w:tcPr>
          <w:p>
            <w:pPr>
              <w:spacing w:after="40"/>
            </w:pPr>
            <w:r>
              <w:rPr>
                <w:sz w:val="17"/>
              </w:rPr>
              <w:t>NestJS + TypeScript</w:t>
            </w:r>
          </w:p>
        </w:tc>
        <w:tc>
          <w:tcPr>
            <w:tcW w:type="dxa" w:w="3331"/>
          </w:tcPr>
          <w:p>
            <w:pPr>
              <w:spacing w:after="40"/>
            </w:pPr>
            <w:r>
              <w:rPr>
                <w:sz w:val="17"/>
              </w:rPr>
              <w:t>Authentication/authorization, tenant context, validation, rate limits, business APIs and orchestration.</w:t>
            </w:r>
          </w:p>
        </w:tc>
      </w:tr>
      <w:tr>
        <w:tc>
          <w:tcPr>
            <w:tcW w:type="dxa" w:w="3331"/>
          </w:tcPr>
          <w:p>
            <w:pPr>
              <w:spacing w:after="40"/>
            </w:pPr>
            <w:r>
              <w:rPr>
                <w:sz w:val="17"/>
              </w:rPr>
              <w:t>Financial engine</w:t>
            </w:r>
          </w:p>
        </w:tc>
        <w:tc>
          <w:tcPr>
            <w:tcW w:type="dxa" w:w="3331"/>
          </w:tcPr>
          <w:p>
            <w:pPr>
              <w:spacing w:after="40"/>
            </w:pPr>
            <w:r>
              <w:rPr>
                <w:sz w:val="17"/>
              </w:rPr>
              <w:t>TypeScript module</w:t>
            </w:r>
          </w:p>
        </w:tc>
        <w:tc>
          <w:tcPr>
            <w:tcW w:type="dxa" w:w="3331"/>
          </w:tcPr>
          <w:p>
            <w:pPr>
              <w:spacing w:after="40"/>
            </w:pPr>
            <w:r>
              <w:rPr>
                <w:sz w:val="17"/>
              </w:rPr>
              <w:t>Validated calculations, report definitions, reconciliations, source references and deterministic totals.</w:t>
            </w:r>
          </w:p>
        </w:tc>
      </w:tr>
      <w:tr>
        <w:tc>
          <w:tcPr>
            <w:tcW w:type="dxa" w:w="3331"/>
          </w:tcPr>
          <w:p>
            <w:pPr>
              <w:spacing w:after="40"/>
            </w:pPr>
            <w:r>
              <w:rPr>
                <w:sz w:val="17"/>
              </w:rPr>
              <w:t>AI orchestration</w:t>
            </w:r>
          </w:p>
        </w:tc>
        <w:tc>
          <w:tcPr>
            <w:tcW w:type="dxa" w:w="3331"/>
          </w:tcPr>
          <w:p>
            <w:pPr>
              <w:spacing w:after="40"/>
            </w:pPr>
            <w:r>
              <w:rPr>
                <w:sz w:val="17"/>
              </w:rPr>
              <w:t>Provider-independent service</w:t>
            </w:r>
          </w:p>
        </w:tc>
        <w:tc>
          <w:tcPr>
            <w:tcW w:type="dxa" w:w="3331"/>
          </w:tcPr>
          <w:p>
            <w:pPr>
              <w:spacing w:after="40"/>
            </w:pPr>
            <w:r>
              <w:rPr>
                <w:sz w:val="17"/>
              </w:rPr>
              <w:t>Intent interpretation, approved tool selection, structured outputs, explanations, timeouts and budgets.</w:t>
            </w:r>
          </w:p>
        </w:tc>
      </w:tr>
      <w:tr>
        <w:tc>
          <w:tcPr>
            <w:tcW w:type="dxa" w:w="3331"/>
          </w:tcPr>
          <w:p>
            <w:pPr>
              <w:spacing w:after="40"/>
            </w:pPr>
            <w:r>
              <w:rPr>
                <w:sz w:val="17"/>
              </w:rPr>
              <w:t>Application database</w:t>
            </w:r>
          </w:p>
        </w:tc>
        <w:tc>
          <w:tcPr>
            <w:tcW w:type="dxa" w:w="3331"/>
          </w:tcPr>
          <w:p>
            <w:pPr>
              <w:spacing w:after="40"/>
            </w:pPr>
            <w:r>
              <w:rPr>
                <w:sz w:val="17"/>
              </w:rPr>
              <w:t>PostgreSQL via Supabase</w:t>
            </w:r>
          </w:p>
        </w:tc>
        <w:tc>
          <w:tcPr>
            <w:tcW w:type="dxa" w:w="3331"/>
          </w:tcPr>
          <w:p>
            <w:pPr>
              <w:spacing w:after="40"/>
            </w:pPr>
            <w:r>
              <w:rPr>
                <w:sz w:val="17"/>
              </w:rPr>
              <w:t>Organizations, users, memberships, connections, report metadata, jobs, chat history and audit events.</w:t>
            </w:r>
          </w:p>
        </w:tc>
      </w:tr>
      <w:tr>
        <w:tc>
          <w:tcPr>
            <w:tcW w:type="dxa" w:w="3331"/>
          </w:tcPr>
          <w:p>
            <w:pPr>
              <w:spacing w:after="40"/>
            </w:pPr>
            <w:r>
              <w:rPr>
                <w:sz w:val="17"/>
              </w:rPr>
              <w:t>Background jobs</w:t>
            </w:r>
          </w:p>
        </w:tc>
        <w:tc>
          <w:tcPr>
            <w:tcW w:type="dxa" w:w="3331"/>
          </w:tcPr>
          <w:p>
            <w:pPr>
              <w:spacing w:after="40"/>
            </w:pPr>
            <w:r>
              <w:rPr>
                <w:sz w:val="17"/>
              </w:rPr>
              <w:t>Persistent worker + PostgreSQL-backed queue (e.g. pg-boss)</w:t>
            </w:r>
          </w:p>
        </w:tc>
        <w:tc>
          <w:tcPr>
            <w:tcW w:type="dxa" w:w="3331"/>
          </w:tcPr>
          <w:p>
            <w:pPr>
              <w:spacing w:after="40"/>
            </w:pPr>
            <w:r>
              <w:rPr>
                <w:sz w:val="17"/>
              </w:rPr>
              <w:t>Synchronization, report generation, retries, idempotency and failure states.</w:t>
            </w:r>
          </w:p>
        </w:tc>
      </w:tr>
      <w:tr>
        <w:tc>
          <w:tcPr>
            <w:tcW w:type="dxa" w:w="3331"/>
          </w:tcPr>
          <w:p>
            <w:pPr>
              <w:spacing w:after="40"/>
            </w:pPr>
            <w:r>
              <w:rPr>
                <w:sz w:val="17"/>
              </w:rPr>
              <w:t>File storage</w:t>
            </w:r>
          </w:p>
        </w:tc>
        <w:tc>
          <w:tcPr>
            <w:tcW w:type="dxa" w:w="3331"/>
          </w:tcPr>
          <w:p>
            <w:pPr>
              <w:spacing w:after="40"/>
            </w:pPr>
            <w:r>
              <w:rPr>
                <w:sz w:val="17"/>
              </w:rPr>
              <w:t>Private object storage</w:t>
            </w:r>
          </w:p>
        </w:tc>
        <w:tc>
          <w:tcPr>
            <w:tcW w:type="dxa" w:w="3331"/>
          </w:tcPr>
          <w:p>
            <w:pPr>
              <w:spacing w:after="40"/>
            </w:pPr>
            <w:r>
              <w:rPr>
                <w:sz w:val="17"/>
              </w:rPr>
              <w:t>Generated reports and exports; short-lived download links.</w:t>
            </w:r>
          </w:p>
        </w:tc>
      </w:tr>
      <w:tr>
        <w:tc>
          <w:tcPr>
            <w:tcW w:type="dxa" w:w="3331"/>
          </w:tcPr>
          <w:p>
            <w:pPr>
              <w:spacing w:after="40"/>
            </w:pPr>
            <w:r>
              <w:rPr>
                <w:sz w:val="17"/>
              </w:rPr>
              <w:t>Local integration</w:t>
            </w:r>
          </w:p>
        </w:tc>
        <w:tc>
          <w:tcPr>
            <w:tcW w:type="dxa" w:w="3331"/>
          </w:tcPr>
          <w:p>
            <w:pPr>
              <w:spacing w:after="40"/>
            </w:pPr>
            <w:r>
              <w:rPr>
                <w:sz w:val="17"/>
              </w:rPr>
              <w:t>Packaged Windows Node.js/TypeScript connector</w:t>
            </w:r>
          </w:p>
        </w:tc>
        <w:tc>
          <w:tcPr>
            <w:tcW w:type="dxa" w:w="3331"/>
          </w:tcPr>
          <w:p>
            <w:pPr>
              <w:spacing w:after="40"/>
            </w:pPr>
            <w:r>
              <w:rPr>
                <w:sz w:val="17"/>
              </w:rPr>
              <w:t>Talk to local Tally XML interface; secure pairing, heartbeats, retries and read-only data retrieval.</w:t>
            </w:r>
          </w:p>
        </w:tc>
      </w:tr>
      <w:tr>
        <w:tc>
          <w:tcPr>
            <w:tcW w:type="dxa" w:w="3331"/>
          </w:tcPr>
          <w:p>
            <w:pPr>
              <w:spacing w:after="40"/>
            </w:pPr>
            <w:r>
              <w:rPr>
                <w:sz w:val="17"/>
              </w:rPr>
              <w:t>Deployment</w:t>
            </w:r>
          </w:p>
        </w:tc>
        <w:tc>
          <w:tcPr>
            <w:tcW w:type="dxa" w:w="3331"/>
          </w:tcPr>
          <w:p>
            <w:pPr>
              <w:spacing w:after="40"/>
            </w:pPr>
            <w:r>
              <w:rPr>
                <w:sz w:val="17"/>
              </w:rPr>
              <w:t>Vercel or suitable web host; managed Node.js API/worker host</w:t>
            </w:r>
          </w:p>
        </w:tc>
        <w:tc>
          <w:tcPr>
            <w:tcW w:type="dxa" w:w="3331"/>
          </w:tcPr>
          <w:p>
            <w:pPr>
              <w:spacing w:after="40"/>
            </w:pPr>
            <w:r>
              <w:rPr>
                <w:sz w:val="17"/>
              </w:rPr>
              <w:t>HTTPS, environment separation, logs, deploys, monitoring and operational recovery.</w:t>
            </w:r>
          </w:p>
        </w:tc>
      </w:tr>
    </w:tbl>
    <w:p>
      <w:pPr>
        <w:spacing w:after="20"/>
      </w:pPr>
    </w:p>
    <w:p>
      <w:pPr>
        <w:pStyle w:val="Heading2"/>
      </w:pPr>
      <w:r>
        <w:t>4.2 Recommended request/data flow</w:t>
      </w:r>
    </w:p>
    <w:p>
      <w:pPr>
        <w:pStyle w:val="ListNumber"/>
        <w:spacing w:after="40"/>
      </w:pPr>
      <w:r>
        <w:t>User signs in to the web application and selects an authorized organization and accounting company.</w:t>
      </w:r>
    </w:p>
    <w:p>
      <w:pPr>
        <w:pStyle w:val="ListNumber"/>
        <w:spacing w:after="40"/>
      </w:pPr>
      <w:r>
        <w:t>The frontend sends a request to the authenticated backend; the backend derives the user's organization permissions from the session.</w:t>
      </w:r>
    </w:p>
    <w:p>
      <w:pPr>
        <w:pStyle w:val="ListNumber"/>
        <w:spacing w:after="40"/>
      </w:pPr>
      <w:r>
        <w:t>For a report or chat question, the backend validates inputs and selects an allowlisted report tool.</w:t>
      </w:r>
    </w:p>
    <w:p>
      <w:pPr>
        <w:pStyle w:val="ListNumber"/>
        <w:spacing w:after="40"/>
      </w:pPr>
      <w:r>
        <w:t>The connector retrieves the necessary data from Tally, or a sufficiently fresh validated cache is used.</w:t>
      </w:r>
    </w:p>
    <w:p>
      <w:pPr>
        <w:pStyle w:val="ListNumber"/>
        <w:spacing w:after="40"/>
      </w:pPr>
      <w:r>
        <w:t>The financial engine calculates totals and records source metadata, reporting period, and freshness.</w:t>
      </w:r>
    </w:p>
    <w:p>
      <w:pPr>
        <w:pStyle w:val="ListNumber"/>
        <w:spacing w:after="40"/>
      </w:pPr>
      <w:r>
        <w:t>AI explains structured results without being the authority for numeric calculations.</w:t>
      </w:r>
    </w:p>
    <w:p>
      <w:pPr>
        <w:pStyle w:val="ListNumber"/>
        <w:spacing w:after="40"/>
      </w:pPr>
      <w:r>
        <w:t>The UI displays the answer with the company, as-of date, source context, and warnings where appropriate.</w:t>
      </w:r>
    </w:p>
    <w:p>
      <w:pPr>
        <w:pStyle w:val="ListNumber"/>
        <w:spacing w:after="40"/>
      </w:pPr>
      <w:r>
        <w:t>Audit events and job state are recorded for diagnosis and traceability.</w:t>
      </w:r>
    </w:p>
    <w:p>
      <w:pPr>
        <w:pStyle w:val="Heading2"/>
      </w:pPr>
      <w:r>
        <w:t>4.3 Deployment guidance</w:t>
      </w:r>
    </w:p>
    <w:p>
      <w:pPr>
        <w:pStyle w:val="ListBullet"/>
        <w:spacing w:after="40"/>
      </w:pPr>
      <w:r>
        <w:t>Frontend: Vercel or one suitable application host.</w:t>
      </w:r>
    </w:p>
    <w:p>
      <w:pPr>
        <w:pStyle w:val="ListBullet"/>
        <w:spacing w:after="40"/>
      </w:pPr>
      <w:r>
        <w:t>API: managed Node.js host; can share a host with the frontend only if runtime and resource limits are suitable.</w:t>
      </w:r>
    </w:p>
    <w:p>
      <w:pPr>
        <w:pStyle w:val="ListBullet"/>
        <w:spacing w:after="40"/>
      </w:pPr>
      <w:r>
        <w:t>Database/authentication: Supabase/PostgreSQL.</w:t>
      </w:r>
    </w:p>
    <w:p>
      <w:pPr>
        <w:pStyle w:val="ListBullet"/>
        <w:spacing w:after="40"/>
      </w:pPr>
      <w:r>
        <w:t>Worker: persistent process or worker service; do not place long-running Tally connections inside ephemeral serverless functions.</w:t>
      </w:r>
    </w:p>
    <w:p>
      <w:pPr>
        <w:pStyle w:val="ListBullet"/>
        <w:spacing w:after="40"/>
      </w:pPr>
      <w:r>
        <w:t>Connector: packaged, versioned Windows application installed on the customer's computer.</w:t>
      </w:r>
    </w:p>
    <w:p>
      <w:pPr>
        <w:pStyle w:val="ListBullet"/>
        <w:spacing w:after="40"/>
      </w:pPr>
      <w:r>
        <w:t>Environments: separate development and production, separate credentials, migrations and controlled releases.</w:t>
      </w:r>
    </w:p>
    <w:p>
      <w:pPr>
        <w:pStyle w:val="Heading2"/>
      </w:pPr>
      <w:r>
        <w:t>4.4 Suggested project structure</w:t>
      </w:r>
    </w:p>
    <w:p>
      <w:r>
        <w:t>A monorepo is a practical choice for a small TypeScript team. It allows shared types and validation schemas without introducing microservice operations.</w:t>
      </w:r>
    </w:p>
    <w:p>
      <w:pPr>
        <w:pStyle w:val="ListBullet"/>
        <w:spacing w:after="40"/>
      </w:pPr>
      <w:r>
        <w:t>apps/web — Next.js UI</w:t>
      </w:r>
    </w:p>
    <w:p>
      <w:pPr>
        <w:pStyle w:val="ListBullet"/>
        <w:spacing w:after="40"/>
      </w:pPr>
      <w:r>
        <w:t>apps/api — NestJS application API</w:t>
      </w:r>
    </w:p>
    <w:p>
      <w:pPr>
        <w:pStyle w:val="ListBullet"/>
        <w:spacing w:after="40"/>
      </w:pPr>
      <w:r>
        <w:t>apps/worker — durable background jobs</w:t>
      </w:r>
    </w:p>
    <w:p>
      <w:pPr>
        <w:pStyle w:val="ListBullet"/>
        <w:spacing w:after="40"/>
      </w:pPr>
      <w:r>
        <w:t>apps/tally-connector — Windows connector</w:t>
      </w:r>
    </w:p>
    <w:p>
      <w:pPr>
        <w:pStyle w:val="ListBullet"/>
        <w:spacing w:after="40"/>
      </w:pPr>
      <w:r>
        <w:t>packages/shared — shared schemas, types, error codes and validation</w:t>
      </w:r>
    </w:p>
    <w:p>
      <w:pPr>
        <w:pStyle w:val="ListBullet"/>
        <w:spacing w:after="40"/>
      </w:pPr>
      <w:r>
        <w:t>packages/tally-adapter — Tally communication and report adapters</w:t>
      </w:r>
    </w:p>
    <w:p>
      <w:pPr>
        <w:pStyle w:val="ListBullet"/>
        <w:spacing w:after="40"/>
      </w:pPr>
      <w:r>
        <w:t>packages/finance-engine — deterministic calculations and report definitions</w:t>
      </w:r>
    </w:p>
    <w:p>
      <w:pPr>
        <w:pStyle w:val="ListBullet"/>
        <w:spacing w:after="40"/>
      </w:pPr>
      <w:r>
        <w:t>packages/ai-orchestrator — model interface, tool registry and structured outputs</w:t>
      </w:r>
    </w:p>
    <w:p>
      <w:pPr>
        <w:pStyle w:val="ListBullet"/>
        <w:spacing w:after="40"/>
      </w:pPr>
      <w:r>
        <w:t>infra/ — deployment configuration, environment templates and runbooks</w:t>
      </w:r>
    </w:p>
    <w:p>
      <w:pPr>
        <w:pStyle w:val="ListBullet"/>
        <w:spacing w:after="40"/>
      </w:pPr>
      <w:r>
        <w:t>docs/adr/ — accepted architecture decision records</w:t>
      </w:r>
    </w:p>
    <w:p>
      <w:pPr>
        <w:pStyle w:val="ListBullet"/>
        <w:spacing w:after="40"/>
      </w:pPr>
      <w:r>
        <w:t>tests/fixtures/ — sanitized reference datasets and Tally report fixtures</w:t>
      </w:r>
    </w:p>
    <w:p>
      <w:r>
        <w:br w:type="page"/>
      </w:r>
    </w:p>
    <w:p>
      <w:pPr>
        <w:pStyle w:val="Heading1"/>
      </w:pPr>
      <w:r>
        <w:t>5. Architecture Decision Records (ADRs)</w:t>
      </w:r>
    </w:p>
    <w:p>
      <w:r>
        <w:t>These are proposed decisions for review and acceptance during the first two days. Record the decision owner, date, status, and any later superseding ADR.</w:t>
      </w:r>
    </w:p>
    <w:p>
      <w:pPr>
        <w:pStyle w:val="Heading2"/>
      </w:pPr>
      <w:r>
        <w:t>ADR-001 — Modular monolith, not microservices</w:t>
      </w:r>
    </w:p>
    <w:p>
      <w:r>
        <w:t>Decision: one backend deployable with clear modules; separate connector and worker processes where runtime needs them. Rationale: small team, one-month timeline, fewer deployment and debugging costs. Revisit only when measured scale, isolation, or team boundaries require it.</w:t>
      </w:r>
    </w:p>
    <w:p>
      <w:pPr>
        <w:pStyle w:val="Heading2"/>
      </w:pPr>
      <w:r>
        <w:t>ADR-002 — Reuse Tally integration logic, not the whole product</w:t>
      </w:r>
    </w:p>
    <w:p>
      <w:r>
        <w:t>Decision: adapt reusable Tally communication and report tools behind a narrow internal interface. Rationale: avoid rebuilding integration logic while owning product security, tenancy, workflows, and validation. License/dependency review is a prerequisite.</w:t>
      </w:r>
    </w:p>
    <w:p>
      <w:pPr>
        <w:pStyle w:val="Heading2"/>
      </w:pPr>
      <w:r>
        <w:t>ADR-003 — PostgreSQL for application system of record</w:t>
      </w:r>
    </w:p>
    <w:p>
      <w:r>
        <w:t>Decision: use relational tables for tenant membership, connection metadata, chat, report metadata, job state and audit events. Rationale: integrity and transactional updates. Do not use a vector database as the primary accounting database.</w:t>
      </w:r>
    </w:p>
    <w:p>
      <w:pPr>
        <w:pStyle w:val="Heading2"/>
      </w:pPr>
      <w:r>
        <w:t>ADR-004 — Deterministic financial engine</w:t>
      </w:r>
    </w:p>
    <w:p>
      <w:r>
        <w:t>Decision: AI selects approved tools and explains results; application code computes authoritative totals. Rationale: model output can be plausible but wrong. Preserve company, reporting period, calculation definition, source and freshness for metrics.</w:t>
      </w:r>
    </w:p>
    <w:p>
      <w:pPr>
        <w:pStyle w:val="Heading2"/>
      </w:pPr>
      <w:r>
        <w:t>ADR-005 — Outbound connector; read-only pilot</w:t>
      </w:r>
    </w:p>
    <w:p>
      <w:r>
        <w:t>Decision: connector makes authenticated outbound requests; Tally stays on the customer's Windows machine; write operations disabled. Rationale: avoid public exposure of Tally and limit risk while data correctness and approvals are tested.</w:t>
      </w:r>
    </w:p>
    <w:p>
      <w:pPr>
        <w:pStyle w:val="Heading2"/>
      </w:pPr>
      <w:r>
        <w:t>ADR-006 — Organization and company are distinct entities</w:t>
      </w:r>
    </w:p>
    <w:p>
      <w:r>
        <w:t>Decision: model organizations, memberships, Tally installations and accounting companies separately. Rationale: CA firms and groups may manage multiple clients/companies. Company name is not a security identifier.</w:t>
      </w:r>
    </w:p>
    <w:p>
      <w:pPr>
        <w:pStyle w:val="Heading2"/>
      </w:pPr>
      <w:r>
        <w:t>ADR-007 — PostgreSQL-backed jobs before Redis</w:t>
      </w:r>
    </w:p>
    <w:p>
      <w:r>
        <w:t>Decision: start with durable jobs in PostgreSQL, retries, idempotency and visible failure states. Rationale: report jobs must survive restarts, while a separate Redis queue adds operations. Revisit after measuring throughput.</w:t>
      </w:r>
    </w:p>
    <w:p>
      <w:pPr>
        <w:pStyle w:val="Heading2"/>
      </w:pPr>
      <w:r>
        <w:t>ADR-008 — Provider-independent AI service</w:t>
      </w:r>
    </w:p>
    <w:p>
      <w:r>
        <w:t>Decision: define an internal interface for model calls, structured output, tool permissions, token budgets and timeouts. Rationale: models/pricing change; provider can be changed without rewriting product logic. Minimize raw ledger data in prompts.</w:t>
      </w:r>
    </w:p>
    <w:p>
      <w:pPr>
        <w:pStyle w:val="Heading2"/>
      </w:pPr>
      <w:r>
        <w:t>ADR-009 — Approval and audit are first-class</w:t>
      </w:r>
    </w:p>
    <w:p>
      <w:r>
        <w:t>Decision: proposed actions record creator, scope, payload, approval state and execution history; no Tally writes in initial pilot. Rationale: UI approval buttons are not enough; server must verify permissions and prevent replay.</w:t>
      </w:r>
    </w:p>
    <w:p>
      <w:pPr>
        <w:pStyle w:val="Heading2"/>
      </w:pPr>
      <w:r>
        <w:t>ADR-010 — Reuse a supported UI component library</w:t>
      </w:r>
    </w:p>
    <w:p>
      <w:r>
        <w:t>Decision: use accessible components and consistent design tokens, adapting the prototype where appropriate. Rationale: prioritize accounting correctness and integration over rebuilding generic UI primitives.</w:t>
      </w:r>
    </w:p>
    <w:p>
      <w:r>
        <w:br w:type="page"/>
      </w:r>
    </w:p>
    <w:p>
      <w:pPr>
        <w:pStyle w:val="Heading1"/>
      </w:pPr>
      <w:r>
        <w:t>6. Financial Data, AI and Tool Design</w:t>
      </w:r>
    </w:p>
    <w:p>
      <w:pPr>
        <w:pStyle w:val="Heading2"/>
      </w:pPr>
      <w:r>
        <w:t>6.1 Initial allowlisted tools</w:t>
      </w:r>
    </w:p>
    <w:tbl>
      <w:tblPr>
        <w:tblStyle w:val="LightShading-Accent1"/>
        <w:tblW w:type="auto" w:w="0"/>
        <w:tblLayout w:type="autofit"/>
        <w:tblLook w:firstColumn="1" w:firstRow="1" w:lastColumn="0" w:lastRow="0" w:noHBand="0" w:noVBand="1" w:val="04A0"/>
      </w:tblPr>
      <w:tblGrid>
        <w:gridCol w:w="4997"/>
        <w:gridCol w:w="4997"/>
      </w:tblGrid>
      <w:tr>
        <w:tc>
          <w:tcPr>
            <w:tcW w:type="dxa" w:w="4997"/>
            <w:shd w:fill="17365D"/>
          </w:tcPr>
          <w:p>
            <w:r>
              <w:rPr>
                <w:b/>
                <w:color w:val="FFFFFF"/>
              </w:rPr>
              <w:t>Tool</w:t>
            </w:r>
          </w:p>
        </w:tc>
        <w:tc>
          <w:tcPr>
            <w:tcW w:type="dxa" w:w="4997"/>
            <w:shd w:fill="17365D"/>
          </w:tcPr>
          <w:p>
            <w:r>
              <w:rPr>
                <w:b/>
                <w:color w:val="FFFFFF"/>
              </w:rPr>
              <w:t>Required inputs / behaviour</w:t>
            </w:r>
          </w:p>
        </w:tc>
      </w:tr>
      <w:tr>
        <w:tc>
          <w:tcPr>
            <w:tcW w:type="dxa" w:w="4997"/>
          </w:tcPr>
          <w:p>
            <w:pPr>
              <w:spacing w:after="40"/>
            </w:pPr>
            <w:r>
              <w:rPr>
                <w:sz w:val="17"/>
              </w:rPr>
              <w:t>get_profit_loss</w:t>
            </w:r>
          </w:p>
        </w:tc>
        <w:tc>
          <w:tcPr>
            <w:tcW w:type="dxa" w:w="4997"/>
          </w:tcPr>
          <w:p>
            <w:pPr>
              <w:spacing w:after="40"/>
            </w:pPr>
            <w:r>
              <w:rPr>
                <w:sz w:val="17"/>
              </w:rPr>
              <w:t>Authorized company, from_date, to_date; return structured totals and source metadata.</w:t>
            </w:r>
          </w:p>
        </w:tc>
      </w:tr>
      <w:tr>
        <w:tc>
          <w:tcPr>
            <w:tcW w:type="dxa" w:w="4997"/>
          </w:tcPr>
          <w:p>
            <w:pPr>
              <w:spacing w:after="40"/>
            </w:pPr>
            <w:r>
              <w:rPr>
                <w:sz w:val="17"/>
              </w:rPr>
              <w:t>get_trial_balance</w:t>
            </w:r>
          </w:p>
        </w:tc>
        <w:tc>
          <w:tcPr>
            <w:tcW w:type="dxa" w:w="4997"/>
          </w:tcPr>
          <w:p>
            <w:pPr>
              <w:spacing w:after="40"/>
            </w:pPr>
            <w:r>
              <w:rPr>
                <w:sz w:val="17"/>
              </w:rPr>
              <w:t>Authorized company, period/as-of parameters; preserve agreed accounting conventions.</w:t>
            </w:r>
          </w:p>
        </w:tc>
      </w:tr>
      <w:tr>
        <w:tc>
          <w:tcPr>
            <w:tcW w:type="dxa" w:w="4997"/>
          </w:tcPr>
          <w:p>
            <w:pPr>
              <w:spacing w:after="40"/>
            </w:pPr>
            <w:r>
              <w:rPr>
                <w:sz w:val="17"/>
              </w:rPr>
              <w:t>get_outstanding_bills</w:t>
            </w:r>
          </w:p>
        </w:tc>
        <w:tc>
          <w:tcPr>
            <w:tcW w:type="dxa" w:w="4997"/>
          </w:tcPr>
          <w:p>
            <w:pPr>
              <w:spacing w:after="40"/>
            </w:pPr>
            <w:r>
              <w:rPr>
                <w:sz w:val="17"/>
              </w:rPr>
              <w:t>Authorized company, receivable/payable nature, as-of date; support validated ageing where available.</w:t>
            </w:r>
          </w:p>
        </w:tc>
      </w:tr>
      <w:tr>
        <w:tc>
          <w:tcPr>
            <w:tcW w:type="dxa" w:w="4997"/>
          </w:tcPr>
          <w:p>
            <w:pPr>
              <w:spacing w:after="40"/>
            </w:pPr>
            <w:r>
              <w:rPr>
                <w:sz w:val="17"/>
              </w:rPr>
              <w:t>get_ledger_statement</w:t>
            </w:r>
          </w:p>
        </w:tc>
        <w:tc>
          <w:tcPr>
            <w:tcW w:type="dxa" w:w="4997"/>
          </w:tcPr>
          <w:p>
            <w:pPr>
              <w:spacing w:after="40"/>
            </w:pPr>
            <w:r>
              <w:rPr>
                <w:sz w:val="17"/>
              </w:rPr>
              <w:t>Authorized company, authorized ledger ID, from_date, to_date.</w:t>
            </w:r>
          </w:p>
        </w:tc>
      </w:tr>
      <w:tr>
        <w:tc>
          <w:tcPr>
            <w:tcW w:type="dxa" w:w="4997"/>
          </w:tcPr>
          <w:p>
            <w:pPr>
              <w:spacing w:after="40"/>
            </w:pPr>
            <w:r>
              <w:rPr>
                <w:sz w:val="17"/>
              </w:rPr>
              <w:t>get_stock_balance</w:t>
            </w:r>
          </w:p>
        </w:tc>
        <w:tc>
          <w:tcPr>
            <w:tcW w:type="dxa" w:w="4997"/>
          </w:tcPr>
          <w:p>
            <w:pPr>
              <w:spacing w:after="40"/>
            </w:pPr>
            <w:r>
              <w:rPr>
                <w:sz w:val="17"/>
              </w:rPr>
              <w:t>Authorized company, optional item ID, as-of date; availability depends on Tally data/configuration.</w:t>
            </w:r>
          </w:p>
        </w:tc>
      </w:tr>
    </w:tbl>
    <w:p>
      <w:pPr>
        <w:spacing w:after="20"/>
      </w:pPr>
    </w:p>
    <w:p>
      <w:r>
        <w:t>The server must derive organization and permissions from the authenticated session. It must not trust a tenant ID supplied by the model or browser as proof of authorization. Avoid arbitrary SQL generated by the model in the first version.</w:t>
      </w:r>
    </w:p>
    <w:p>
      <w:pPr>
        <w:pStyle w:val="Heading2"/>
      </w:pPr>
      <w:r>
        <w:t>6.2 Example workflow: “Who owes us the most money?”</w:t>
      </w:r>
    </w:p>
    <w:p>
      <w:pPr>
        <w:pStyle w:val="ListNumber"/>
        <w:spacing w:after="40"/>
      </w:pPr>
      <w:r>
        <w:t>Authenticate user; verify organization, role, selected company and reporting date.</w:t>
      </w:r>
    </w:p>
    <w:p>
      <w:pPr>
        <w:pStyle w:val="ListNumber"/>
        <w:spacing w:after="40"/>
      </w:pPr>
      <w:r>
        <w:t>Retrieve outstanding bills from Tally or a validated cache within the freshness policy.</w:t>
      </w:r>
    </w:p>
    <w:p>
      <w:pPr>
        <w:pStyle w:val="ListNumber"/>
        <w:spacing w:after="40"/>
      </w:pPr>
      <w:r>
        <w:t>Calculate and sort balances in deterministic code.</w:t>
      </w:r>
    </w:p>
    <w:p>
      <w:pPr>
        <w:pStyle w:val="ListNumber"/>
        <w:spacing w:after="40"/>
      </w:pPr>
      <w:r>
        <w:t>Pass structured results to AI for a concise explanation.</w:t>
      </w:r>
    </w:p>
    <w:p>
      <w:pPr>
        <w:pStyle w:val="ListNumber"/>
        <w:spacing w:after="40"/>
      </w:pPr>
      <w:r>
        <w:t>Display answer, as-of date, source information, and data freshness warning if needed.</w:t>
      </w:r>
    </w:p>
    <w:p>
      <w:pPr>
        <w:pStyle w:val="Heading2"/>
      </w:pPr>
      <w:r>
        <w:t>6.3 Data storage strategy</w:t>
      </w:r>
    </w:p>
    <w:p>
      <w:pPr>
        <w:pStyle w:val="ListBullet"/>
        <w:spacing w:after="40"/>
      </w:pPr>
      <w:r>
        <w:t>Store application data, connection records, report metadata and audit logs in PostgreSQL.</w:t>
      </w:r>
    </w:p>
    <w:p>
      <w:pPr>
        <w:pStyle w:val="ListBullet"/>
        <w:spacing w:after="40"/>
      </w:pPr>
      <w:r>
        <w:t>Fetch supported reports from Tally and cache only what is required for repeat queries.</w:t>
      </w:r>
    </w:p>
    <w:p>
      <w:pPr>
        <w:pStyle w:val="ListBullet"/>
        <w:spacing w:after="40"/>
      </w:pPr>
      <w:r>
        <w:t>Record synchronization watermark, company identity, period, source and fetch time for each cached dataset.</w:t>
      </w:r>
    </w:p>
    <w:p>
      <w:pPr>
        <w:pStyle w:val="ListBullet"/>
        <w:spacing w:after="40"/>
      </w:pPr>
      <w:r>
        <w:t>Define a freshness policy for each report and show stale-data warnings clearly.</w:t>
      </w:r>
    </w:p>
    <w:p>
      <w:pPr>
        <w:pStyle w:val="ListBullet"/>
        <w:spacing w:after="40"/>
      </w:pPr>
      <w:r>
        <w:t>Use private object storage for exports with short-lived signed download links.</w:t>
      </w:r>
    </w:p>
    <w:p>
      <w:pPr>
        <w:pStyle w:val="ListBullet"/>
        <w:spacing w:after="40"/>
      </w:pPr>
      <w:r>
        <w:t>Cache keys must include tenant, connector, company, reporting period and relevant filters—not just company name.</w:t>
      </w:r>
    </w:p>
    <w:p>
      <w:pPr>
        <w:pStyle w:val="ListBullet"/>
        <w:spacing w:after="40"/>
      </w:pPr>
      <w:r>
        <w:t>Consider a normalized reporting store or analytical database only if pilot measurements show a need for fast queries over large voucher volumes.</w:t>
      </w:r>
    </w:p>
    <w:p>
      <w:pPr>
        <w:pStyle w:val="Heading2"/>
      </w:pPr>
      <w:r>
        <w:t>6.4 Financial correctness</w:t>
      </w:r>
    </w:p>
    <w:p>
      <w:pPr>
        <w:pStyle w:val="ListBullet"/>
        <w:spacing w:after="40"/>
      </w:pPr>
      <w:r>
        <w:t>Create sanitized test fixtures from representative Tally reports.</w:t>
      </w:r>
    </w:p>
    <w:p>
      <w:pPr>
        <w:pStyle w:val="ListBullet"/>
        <w:spacing w:after="40"/>
      </w:pPr>
      <w:r>
        <w:t>Define date boundaries, debit/credit signs, opening balances, closing balances, rounding, and grouping conventions.</w:t>
      </w:r>
    </w:p>
    <w:p>
      <w:pPr>
        <w:pStyle w:val="ListBullet"/>
        <w:spacing w:after="40"/>
      </w:pPr>
      <w:r>
        <w:t>Compare every initial report against Tally's own output for agreed periods.</w:t>
      </w:r>
    </w:p>
    <w:p>
      <w:pPr>
        <w:pStyle w:val="ListBullet"/>
        <w:spacing w:after="40"/>
      </w:pPr>
      <w:r>
        <w:t>Test empty, malformed, large, inconsistent, and partial datasets.</w:t>
      </w:r>
    </w:p>
    <w:p>
      <w:pPr>
        <w:pStyle w:val="ListBullet"/>
        <w:spacing w:after="40"/>
      </w:pPr>
      <w:r>
        <w:t>Do not silently substitute cached values when data is stale; label freshness and fail safely where the question requires current data.</w:t>
      </w:r>
    </w:p>
    <w:p>
      <w:r>
        <w:br w:type="page"/>
      </w:r>
    </w:p>
    <w:p>
      <w:pPr>
        <w:pStyle w:val="Heading1"/>
      </w:pPr>
      <w:r>
        <w:t>7. Initial Data Model and API Boundaries</w:t>
      </w:r>
    </w:p>
    <w:p>
      <w:pPr>
        <w:pStyle w:val="Heading2"/>
      </w:pPr>
      <w:r>
        <w:t>7.1 Suggested entities</w:t>
      </w:r>
    </w:p>
    <w:tbl>
      <w:tblPr>
        <w:tblStyle w:val="LightShading-Accent1"/>
        <w:tblW w:type="auto" w:w="0"/>
        <w:tblLayout w:type="autofit"/>
        <w:tblLook w:firstColumn="1" w:firstRow="1" w:lastColumn="0" w:lastRow="0" w:noHBand="0" w:noVBand="1" w:val="04A0"/>
      </w:tblPr>
      <w:tblGrid>
        <w:gridCol w:w="4997"/>
        <w:gridCol w:w="4997"/>
      </w:tblGrid>
      <w:tr>
        <w:tc>
          <w:tcPr>
            <w:tcW w:type="dxa" w:w="4997"/>
            <w:shd w:fill="17365D"/>
          </w:tcPr>
          <w:p>
            <w:r>
              <w:rPr>
                <w:b/>
                <w:color w:val="FFFFFF"/>
              </w:rPr>
              <w:t>Entity</w:t>
            </w:r>
          </w:p>
        </w:tc>
        <w:tc>
          <w:tcPr>
            <w:tcW w:type="dxa" w:w="4997"/>
            <w:shd w:fill="17365D"/>
          </w:tcPr>
          <w:p>
            <w:r>
              <w:rPr>
                <w:b/>
                <w:color w:val="FFFFFF"/>
              </w:rPr>
              <w:t>Purpose / key considerations</w:t>
            </w:r>
          </w:p>
        </w:tc>
      </w:tr>
      <w:tr>
        <w:tc>
          <w:tcPr>
            <w:tcW w:type="dxa" w:w="4997"/>
          </w:tcPr>
          <w:p>
            <w:pPr>
              <w:spacing w:after="40"/>
            </w:pPr>
            <w:r>
              <w:rPr>
                <w:sz w:val="17"/>
              </w:rPr>
              <w:t>organizations</w:t>
            </w:r>
          </w:p>
        </w:tc>
        <w:tc>
          <w:tcPr>
            <w:tcW w:type="dxa" w:w="4997"/>
          </w:tcPr>
          <w:p>
            <w:pPr>
              <w:spacing w:after="40"/>
            </w:pPr>
            <w:r>
              <w:rPr>
                <w:sz w:val="17"/>
              </w:rPr>
              <w:t>Tenant boundary; organization ID is the primary tenant scope.</w:t>
            </w:r>
          </w:p>
        </w:tc>
      </w:tr>
      <w:tr>
        <w:tc>
          <w:tcPr>
            <w:tcW w:type="dxa" w:w="4997"/>
          </w:tcPr>
          <w:p>
            <w:pPr>
              <w:spacing w:after="40"/>
            </w:pPr>
            <w:r>
              <w:rPr>
                <w:sz w:val="17"/>
              </w:rPr>
              <w:t>users</w:t>
            </w:r>
          </w:p>
        </w:tc>
        <w:tc>
          <w:tcPr>
            <w:tcW w:type="dxa" w:w="4997"/>
          </w:tcPr>
          <w:p>
            <w:pPr>
              <w:spacing w:after="40"/>
            </w:pPr>
            <w:r>
              <w:rPr>
                <w:sz w:val="17"/>
              </w:rPr>
              <w:t>Identity record or reference to auth provider.</w:t>
            </w:r>
          </w:p>
        </w:tc>
      </w:tr>
      <w:tr>
        <w:tc>
          <w:tcPr>
            <w:tcW w:type="dxa" w:w="4997"/>
          </w:tcPr>
          <w:p>
            <w:pPr>
              <w:spacing w:after="40"/>
            </w:pPr>
            <w:r>
              <w:rPr>
                <w:sz w:val="17"/>
              </w:rPr>
              <w:t>memberships</w:t>
            </w:r>
          </w:p>
        </w:tc>
        <w:tc>
          <w:tcPr>
            <w:tcW w:type="dxa" w:w="4997"/>
          </w:tcPr>
          <w:p>
            <w:pPr>
              <w:spacing w:after="40"/>
            </w:pPr>
            <w:r>
              <w:rPr>
                <w:sz w:val="17"/>
              </w:rPr>
              <w:t>User-to-organization relationship, role, status, and invitation lifecycle.</w:t>
            </w:r>
          </w:p>
        </w:tc>
      </w:tr>
      <w:tr>
        <w:tc>
          <w:tcPr>
            <w:tcW w:type="dxa" w:w="4997"/>
          </w:tcPr>
          <w:p>
            <w:pPr>
              <w:spacing w:after="40"/>
            </w:pPr>
            <w:r>
              <w:rPr>
                <w:sz w:val="17"/>
              </w:rPr>
              <w:t>accounting_companies</w:t>
            </w:r>
          </w:p>
        </w:tc>
        <w:tc>
          <w:tcPr>
            <w:tcW w:type="dxa" w:w="4997"/>
          </w:tcPr>
          <w:p>
            <w:pPr>
              <w:spacing w:after="40"/>
            </w:pPr>
            <w:r>
              <w:rPr>
                <w:sz w:val="17"/>
              </w:rPr>
              <w:t>Company identity from Tally, linked to an organization and connector; never identify solely by display name.</w:t>
            </w:r>
          </w:p>
        </w:tc>
      </w:tr>
      <w:tr>
        <w:tc>
          <w:tcPr>
            <w:tcW w:type="dxa" w:w="4997"/>
          </w:tcPr>
          <w:p>
            <w:pPr>
              <w:spacing w:after="40"/>
            </w:pPr>
            <w:r>
              <w:rPr>
                <w:sz w:val="17"/>
              </w:rPr>
              <w:t>connectors</w:t>
            </w:r>
          </w:p>
        </w:tc>
        <w:tc>
          <w:tcPr>
            <w:tcW w:type="dxa" w:w="4997"/>
          </w:tcPr>
          <w:p>
            <w:pPr>
              <w:spacing w:after="40"/>
            </w:pPr>
            <w:r>
              <w:rPr>
                <w:sz w:val="17"/>
              </w:rPr>
              <w:t>Installation ID, pairing status, version, health, last heartbeat, revocation and public-key/credential metadata.</w:t>
            </w:r>
          </w:p>
        </w:tc>
      </w:tr>
      <w:tr>
        <w:tc>
          <w:tcPr>
            <w:tcW w:type="dxa" w:w="4997"/>
          </w:tcPr>
          <w:p>
            <w:pPr>
              <w:spacing w:after="40"/>
            </w:pPr>
            <w:r>
              <w:rPr>
                <w:sz w:val="17"/>
              </w:rPr>
              <w:t>sync_runs</w:t>
            </w:r>
          </w:p>
        </w:tc>
        <w:tc>
          <w:tcPr>
            <w:tcW w:type="dxa" w:w="4997"/>
          </w:tcPr>
          <w:p>
            <w:pPr>
              <w:spacing w:after="40"/>
            </w:pPr>
            <w:r>
              <w:rPr>
                <w:sz w:val="17"/>
              </w:rPr>
              <w:t>Start/end, status, company, report type, cursor/watermark, retry count, errors and freshness.</w:t>
            </w:r>
          </w:p>
        </w:tc>
      </w:tr>
      <w:tr>
        <w:tc>
          <w:tcPr>
            <w:tcW w:type="dxa" w:w="4997"/>
          </w:tcPr>
          <w:p>
            <w:pPr>
              <w:spacing w:after="40"/>
            </w:pPr>
            <w:r>
              <w:rPr>
                <w:sz w:val="17"/>
              </w:rPr>
              <w:t>report_runs</w:t>
            </w:r>
          </w:p>
        </w:tc>
        <w:tc>
          <w:tcPr>
            <w:tcW w:type="dxa" w:w="4997"/>
          </w:tcPr>
          <w:p>
            <w:pPr>
              <w:spacing w:after="40"/>
            </w:pPr>
            <w:r>
              <w:rPr>
                <w:sz w:val="17"/>
              </w:rPr>
              <w:t>Requested report, parameters, company, requester, status, source metadata, result reference and timestamps.</w:t>
            </w:r>
          </w:p>
        </w:tc>
      </w:tr>
      <w:tr>
        <w:tc>
          <w:tcPr>
            <w:tcW w:type="dxa" w:w="4997"/>
          </w:tcPr>
          <w:p>
            <w:pPr>
              <w:spacing w:after="40"/>
            </w:pPr>
            <w:r>
              <w:rPr>
                <w:sz w:val="17"/>
              </w:rPr>
              <w:t>chat_sessions / messages</w:t>
            </w:r>
          </w:p>
        </w:tc>
        <w:tc>
          <w:tcPr>
            <w:tcW w:type="dxa" w:w="4997"/>
          </w:tcPr>
          <w:p>
            <w:pPr>
              <w:spacing w:after="40"/>
            </w:pPr>
            <w:r>
              <w:rPr>
                <w:sz w:val="17"/>
              </w:rPr>
              <w:t>User conversation history with organization/company scope and retention policy.</w:t>
            </w:r>
          </w:p>
        </w:tc>
      </w:tr>
      <w:tr>
        <w:tc>
          <w:tcPr>
            <w:tcW w:type="dxa" w:w="4997"/>
          </w:tcPr>
          <w:p>
            <w:pPr>
              <w:spacing w:after="40"/>
            </w:pPr>
            <w:r>
              <w:rPr>
                <w:sz w:val="17"/>
              </w:rPr>
              <w:t>audit_events</w:t>
            </w:r>
          </w:p>
        </w:tc>
        <w:tc>
          <w:tcPr>
            <w:tcW w:type="dxa" w:w="4997"/>
          </w:tcPr>
          <w:p>
            <w:pPr>
              <w:spacing w:after="40"/>
            </w:pPr>
            <w:r>
              <w:rPr>
                <w:sz w:val="17"/>
              </w:rPr>
              <w:t>Actor, organization, action, target, timestamp, outcome and carefully redacted metadata.</w:t>
            </w:r>
          </w:p>
        </w:tc>
      </w:tr>
      <w:tr>
        <w:tc>
          <w:tcPr>
            <w:tcW w:type="dxa" w:w="4997"/>
          </w:tcPr>
          <w:p>
            <w:pPr>
              <w:spacing w:after="40"/>
            </w:pPr>
            <w:r>
              <w:rPr>
                <w:sz w:val="17"/>
              </w:rPr>
              <w:t>approval_requests</w:t>
            </w:r>
          </w:p>
        </w:tc>
        <w:tc>
          <w:tcPr>
            <w:tcW w:type="dxa" w:w="4997"/>
          </w:tcPr>
          <w:p>
            <w:pPr>
              <w:spacing w:after="40"/>
            </w:pPr>
            <w:r>
              <w:rPr>
                <w:sz w:val="17"/>
              </w:rPr>
              <w:t>Future-ready record for proposed action, payload hash, creator, approver, state and execution result; writes disabled in pilot.</w:t>
            </w:r>
          </w:p>
        </w:tc>
      </w:tr>
      <w:tr>
        <w:tc>
          <w:tcPr>
            <w:tcW w:type="dxa" w:w="4997"/>
          </w:tcPr>
          <w:p>
            <w:pPr>
              <w:spacing w:after="40"/>
            </w:pPr>
            <w:r>
              <w:rPr>
                <w:sz w:val="17"/>
              </w:rPr>
              <w:t>generated_files</w:t>
            </w:r>
          </w:p>
        </w:tc>
        <w:tc>
          <w:tcPr>
            <w:tcW w:type="dxa" w:w="4997"/>
          </w:tcPr>
          <w:p>
            <w:pPr>
              <w:spacing w:after="40"/>
            </w:pPr>
            <w:r>
              <w:rPr>
                <w:sz w:val="17"/>
              </w:rPr>
              <w:t>Private object key, tenant/company scope, owner, expiry/retention and checksum.</w:t>
            </w:r>
          </w:p>
        </w:tc>
      </w:tr>
    </w:tbl>
    <w:p>
      <w:pPr>
        <w:spacing w:after="20"/>
      </w:pPr>
    </w:p>
    <w:p>
      <w:pPr>
        <w:pStyle w:val="Heading2"/>
      </w:pPr>
      <w:r>
        <w:t>7.2 API boundaries (illustrative)</w:t>
      </w:r>
    </w:p>
    <w:tbl>
      <w:tblPr>
        <w:tblStyle w:val="LightShading-Accent1"/>
        <w:tblW w:type="auto" w:w="0"/>
        <w:tblLayout w:type="autofit"/>
        <w:tblLook w:firstColumn="1" w:firstRow="1" w:lastColumn="0" w:lastRow="0" w:noHBand="0" w:noVBand="1" w:val="04A0"/>
      </w:tblPr>
      <w:tblGrid>
        <w:gridCol w:w="4997"/>
        <w:gridCol w:w="4997"/>
      </w:tblGrid>
      <w:tr>
        <w:tc>
          <w:tcPr>
            <w:tcW w:type="dxa" w:w="4997"/>
            <w:shd w:fill="17365D"/>
          </w:tcPr>
          <w:p>
            <w:r>
              <w:rPr>
                <w:b/>
                <w:color w:val="FFFFFF"/>
              </w:rPr>
              <w:t>Endpoint family</w:t>
            </w:r>
          </w:p>
        </w:tc>
        <w:tc>
          <w:tcPr>
            <w:tcW w:type="dxa" w:w="4997"/>
            <w:shd w:fill="17365D"/>
          </w:tcPr>
          <w:p>
            <w:r>
              <w:rPr>
                <w:b/>
                <w:color w:val="FFFFFF"/>
              </w:rPr>
              <w:t>Purpose</w:t>
            </w:r>
          </w:p>
        </w:tc>
      </w:tr>
      <w:tr>
        <w:tc>
          <w:tcPr>
            <w:tcW w:type="dxa" w:w="4997"/>
          </w:tcPr>
          <w:p>
            <w:pPr>
              <w:spacing w:after="40"/>
            </w:pPr>
            <w:r>
              <w:rPr>
                <w:sz w:val="17"/>
              </w:rPr>
              <w:t>POST /organizations; GET /me</w:t>
            </w:r>
          </w:p>
        </w:tc>
        <w:tc>
          <w:tcPr>
            <w:tcW w:type="dxa" w:w="4997"/>
          </w:tcPr>
          <w:p>
            <w:pPr>
              <w:spacing w:after="40"/>
            </w:pPr>
            <w:r>
              <w:rPr>
                <w:sz w:val="17"/>
              </w:rPr>
              <w:t>Onboarding and authenticated user context.</w:t>
            </w:r>
          </w:p>
        </w:tc>
      </w:tr>
      <w:tr>
        <w:tc>
          <w:tcPr>
            <w:tcW w:type="dxa" w:w="4997"/>
          </w:tcPr>
          <w:p>
            <w:pPr>
              <w:spacing w:after="40"/>
            </w:pPr>
            <w:r>
              <w:rPr>
                <w:sz w:val="17"/>
              </w:rPr>
              <w:t>GET /companies; POST /connectors/pair</w:t>
            </w:r>
          </w:p>
        </w:tc>
        <w:tc>
          <w:tcPr>
            <w:tcW w:type="dxa" w:w="4997"/>
          </w:tcPr>
          <w:p>
            <w:pPr>
              <w:spacing w:after="40"/>
            </w:pPr>
            <w:r>
              <w:rPr>
                <w:sz w:val="17"/>
              </w:rPr>
              <w:t>List authorized companies and pair connector securely.</w:t>
            </w:r>
          </w:p>
        </w:tc>
      </w:tr>
      <w:tr>
        <w:tc>
          <w:tcPr>
            <w:tcW w:type="dxa" w:w="4997"/>
          </w:tcPr>
          <w:p>
            <w:pPr>
              <w:spacing w:after="40"/>
            </w:pPr>
            <w:r>
              <w:rPr>
                <w:sz w:val="17"/>
              </w:rPr>
              <w:t>GET /connectors/status</w:t>
            </w:r>
          </w:p>
        </w:tc>
        <w:tc>
          <w:tcPr>
            <w:tcW w:type="dxa" w:w="4997"/>
          </w:tcPr>
          <w:p>
            <w:pPr>
              <w:spacing w:after="40"/>
            </w:pPr>
            <w:r>
              <w:rPr>
                <w:sz w:val="17"/>
              </w:rPr>
              <w:t>Health and last-seen information for authorized connectors.</w:t>
            </w:r>
          </w:p>
        </w:tc>
      </w:tr>
      <w:tr>
        <w:tc>
          <w:tcPr>
            <w:tcW w:type="dxa" w:w="4997"/>
          </w:tcPr>
          <w:p>
            <w:pPr>
              <w:spacing w:after="40"/>
            </w:pPr>
            <w:r>
              <w:rPr>
                <w:sz w:val="17"/>
              </w:rPr>
              <w:t>GET /reports/trial-balance</w:t>
            </w:r>
          </w:p>
        </w:tc>
        <w:tc>
          <w:tcPr>
            <w:tcW w:type="dxa" w:w="4997"/>
          </w:tcPr>
          <w:p>
            <w:pPr>
              <w:spacing w:after="40"/>
            </w:pPr>
            <w:r>
              <w:rPr>
                <w:sz w:val="17"/>
              </w:rPr>
              <w:t>Validated trial balance query.</w:t>
            </w:r>
          </w:p>
        </w:tc>
      </w:tr>
      <w:tr>
        <w:tc>
          <w:tcPr>
            <w:tcW w:type="dxa" w:w="4997"/>
          </w:tcPr>
          <w:p>
            <w:pPr>
              <w:spacing w:after="40"/>
            </w:pPr>
            <w:r>
              <w:rPr>
                <w:sz w:val="17"/>
              </w:rPr>
              <w:t>GET /reports/profit-loss</w:t>
            </w:r>
          </w:p>
        </w:tc>
        <w:tc>
          <w:tcPr>
            <w:tcW w:type="dxa" w:w="4997"/>
          </w:tcPr>
          <w:p>
            <w:pPr>
              <w:spacing w:after="40"/>
            </w:pPr>
            <w:r>
              <w:rPr>
                <w:sz w:val="17"/>
              </w:rPr>
              <w:t>Validated P&amp;L query.</w:t>
            </w:r>
          </w:p>
        </w:tc>
      </w:tr>
      <w:tr>
        <w:tc>
          <w:tcPr>
            <w:tcW w:type="dxa" w:w="4997"/>
          </w:tcPr>
          <w:p>
            <w:pPr>
              <w:spacing w:after="40"/>
            </w:pPr>
            <w:r>
              <w:rPr>
                <w:sz w:val="17"/>
              </w:rPr>
              <w:t>GET /reports/balance-sheet</w:t>
            </w:r>
          </w:p>
        </w:tc>
        <w:tc>
          <w:tcPr>
            <w:tcW w:type="dxa" w:w="4997"/>
          </w:tcPr>
          <w:p>
            <w:pPr>
              <w:spacing w:after="40"/>
            </w:pPr>
            <w:r>
              <w:rPr>
                <w:sz w:val="17"/>
              </w:rPr>
              <w:t>Validated balance sheet query.</w:t>
            </w:r>
          </w:p>
        </w:tc>
      </w:tr>
      <w:tr>
        <w:tc>
          <w:tcPr>
            <w:tcW w:type="dxa" w:w="4997"/>
          </w:tcPr>
          <w:p>
            <w:pPr>
              <w:spacing w:after="40"/>
            </w:pPr>
            <w:r>
              <w:rPr>
                <w:sz w:val="17"/>
              </w:rPr>
              <w:t>GET /reports/outstanding-bills</w:t>
            </w:r>
          </w:p>
        </w:tc>
        <w:tc>
          <w:tcPr>
            <w:tcW w:type="dxa" w:w="4997"/>
          </w:tcPr>
          <w:p>
            <w:pPr>
              <w:spacing w:after="40"/>
            </w:pPr>
            <w:r>
              <w:rPr>
                <w:sz w:val="17"/>
              </w:rPr>
              <w:t>Validated receivables/payables query.</w:t>
            </w:r>
          </w:p>
        </w:tc>
      </w:tr>
      <w:tr>
        <w:tc>
          <w:tcPr>
            <w:tcW w:type="dxa" w:w="4997"/>
          </w:tcPr>
          <w:p>
            <w:pPr>
              <w:spacing w:after="40"/>
            </w:pPr>
            <w:r>
              <w:rPr>
                <w:sz w:val="17"/>
              </w:rPr>
              <w:t>GET /reports/ledger-statement</w:t>
            </w:r>
          </w:p>
        </w:tc>
        <w:tc>
          <w:tcPr>
            <w:tcW w:type="dxa" w:w="4997"/>
          </w:tcPr>
          <w:p>
            <w:pPr>
              <w:spacing w:after="40"/>
            </w:pPr>
            <w:r>
              <w:rPr>
                <w:sz w:val="17"/>
              </w:rPr>
              <w:t>Authorized ledger statement query.</w:t>
            </w:r>
          </w:p>
        </w:tc>
      </w:tr>
      <w:tr>
        <w:tc>
          <w:tcPr>
            <w:tcW w:type="dxa" w:w="4997"/>
          </w:tcPr>
          <w:p>
            <w:pPr>
              <w:spacing w:after="40"/>
            </w:pPr>
            <w:r>
              <w:rPr>
                <w:sz w:val="17"/>
              </w:rPr>
              <w:t>POST /chat/messages</w:t>
            </w:r>
          </w:p>
        </w:tc>
        <w:tc>
          <w:tcPr>
            <w:tcW w:type="dxa" w:w="4997"/>
          </w:tcPr>
          <w:p>
            <w:pPr>
              <w:spacing w:after="40"/>
            </w:pPr>
            <w:r>
              <w:rPr>
                <w:sz w:val="17"/>
              </w:rPr>
              <w:t>Create a finance question; server selects approved tools.</w:t>
            </w:r>
          </w:p>
        </w:tc>
      </w:tr>
      <w:tr>
        <w:tc>
          <w:tcPr>
            <w:tcW w:type="dxa" w:w="4997"/>
          </w:tcPr>
          <w:p>
            <w:pPr>
              <w:spacing w:after="40"/>
            </w:pPr>
            <w:r>
              <w:rPr>
                <w:sz w:val="17"/>
              </w:rPr>
              <w:t>GET /report-runs/:id; GET /files/:id</w:t>
            </w:r>
          </w:p>
        </w:tc>
        <w:tc>
          <w:tcPr>
            <w:tcW w:type="dxa" w:w="4997"/>
          </w:tcPr>
          <w:p>
            <w:pPr>
              <w:spacing w:after="40"/>
            </w:pPr>
            <w:r>
              <w:rPr>
                <w:sz w:val="17"/>
              </w:rPr>
              <w:t>Retrieve job/report status and authorized file downloads.</w:t>
            </w:r>
          </w:p>
        </w:tc>
      </w:tr>
    </w:tbl>
    <w:p>
      <w:pPr>
        <w:spacing w:after="20"/>
      </w:pPr>
    </w:p>
    <w:p>
      <w:r>
        <w:t>These endpoints are a starting contract, not a finalized API specification. Use a versioned API prefix, runtime validation, consistent error shapes, request IDs, pagination where appropriate, and idempotency for operations that may be retried.</w:t>
      </w:r>
    </w:p>
    <w:p>
      <w:r>
        <w:br w:type="page"/>
      </w:r>
    </w:p>
    <w:p>
      <w:pPr>
        <w:pStyle w:val="Heading1"/>
      </w:pPr>
      <w:r>
        <w:t>8. Security, Reliability and Operations</w:t>
      </w:r>
    </w:p>
    <w:p>
      <w:pPr>
        <w:pStyle w:val="Heading2"/>
      </w:pPr>
      <w:r>
        <w:t>8.1 Mandatory controls</w:t>
      </w:r>
    </w:p>
    <w:p>
      <w:pPr>
        <w:pStyle w:val="ListBullet"/>
        <w:spacing w:after="40"/>
      </w:pPr>
      <w:r>
        <w:t>Enforce organization/company permissions on every API request; use PostgreSQL row-level security as defense in depth.</w:t>
      </w:r>
    </w:p>
    <w:p>
      <w:pPr>
        <w:pStyle w:val="ListBullet"/>
        <w:spacing w:after="40"/>
      </w:pPr>
      <w:r>
        <w:t>Keep Tally XML port 9000 inaccessible from the public internet.</w:t>
      </w:r>
    </w:p>
    <w:p>
      <w:pPr>
        <w:pStyle w:val="ListBullet"/>
        <w:spacing w:after="40"/>
      </w:pPr>
      <w:r>
        <w:t>Use unique connector credentials, secure pairing, revocation, rotation and least privilege.</w:t>
      </w:r>
    </w:p>
    <w:p>
      <w:pPr>
        <w:pStyle w:val="ListBullet"/>
        <w:spacing w:after="40"/>
      </w:pPr>
      <w:r>
        <w:t>Keep API keys and database secrets in server-side secret management; never commit secrets.</w:t>
      </w:r>
    </w:p>
    <w:p>
      <w:pPr>
        <w:pStyle w:val="ListBullet"/>
        <w:spacing w:after="40"/>
      </w:pPr>
      <w:r>
        <w:t>Disable write-capable Tally tools for the pilot.</w:t>
      </w:r>
    </w:p>
    <w:p>
      <w:pPr>
        <w:pStyle w:val="ListBullet"/>
        <w:spacing w:after="40"/>
      </w:pPr>
      <w:r>
        <w:t>Enable database backups and test restore procedures.</w:t>
      </w:r>
    </w:p>
    <w:p>
      <w:pPr>
        <w:pStyle w:val="ListBullet"/>
        <w:spacing w:after="40"/>
      </w:pPr>
      <w:r>
        <w:t>Use TLS for external connections and appropriate encryption for stored sensitive data.</w:t>
      </w:r>
    </w:p>
    <w:p>
      <w:pPr>
        <w:pStyle w:val="ListBullet"/>
        <w:spacing w:after="40"/>
      </w:pPr>
      <w:r>
        <w:t>Redact secrets and raw financial data from logs; restrict access to operational logs.</w:t>
      </w:r>
    </w:p>
    <w:p>
      <w:pPr>
        <w:pStyle w:val="ListBullet"/>
        <w:spacing w:after="40"/>
      </w:pPr>
      <w:r>
        <w:t>Test tenant isolation, session expiry, authorization and report-download access.</w:t>
      </w:r>
    </w:p>
    <w:p>
      <w:pPr>
        <w:pStyle w:val="ListBullet"/>
        <w:spacing w:after="40"/>
      </w:pPr>
      <w:r>
        <w:t>Document data retention, deletion, incident response, and customer data access policies.</w:t>
      </w:r>
    </w:p>
    <w:p>
      <w:pPr>
        <w:pStyle w:val="Heading2"/>
      </w:pPr>
      <w:r>
        <w:t>8.2 Reliability controls</w:t>
      </w:r>
    </w:p>
    <w:p>
      <w:pPr>
        <w:pStyle w:val="ListBullet"/>
        <w:spacing w:after="40"/>
      </w:pPr>
      <w:r>
        <w:t>Connector heartbeat and last-successful-sync indicators.</w:t>
      </w:r>
    </w:p>
    <w:p>
      <w:pPr>
        <w:pStyle w:val="ListBullet"/>
        <w:spacing w:after="40"/>
      </w:pPr>
      <w:r>
        <w:t>Bounded retries with exponential backoff and timeouts.</w:t>
      </w:r>
    </w:p>
    <w:p>
      <w:pPr>
        <w:pStyle w:val="ListBullet"/>
        <w:spacing w:after="40"/>
      </w:pPr>
      <w:r>
        <w:t>Idempotency for sync/report jobs and clear duplicate-prevention rules.</w:t>
      </w:r>
    </w:p>
    <w:p>
      <w:pPr>
        <w:pStyle w:val="ListBullet"/>
        <w:spacing w:after="40"/>
      </w:pPr>
      <w:r>
        <w:t>Durable job state and visible failed-job status.</w:t>
      </w:r>
    </w:p>
    <w:p>
      <w:pPr>
        <w:pStyle w:val="ListBullet"/>
        <w:spacing w:after="40"/>
      </w:pPr>
      <w:r>
        <w:t>Structured logs with request/correlation IDs and redaction.</w:t>
      </w:r>
    </w:p>
    <w:p>
      <w:pPr>
        <w:pStyle w:val="ListBullet"/>
        <w:spacing w:after="40"/>
      </w:pPr>
      <w:r>
        <w:t>Monitoring for API errors, connector health, queue lag, AI cost and report failures.</w:t>
      </w:r>
    </w:p>
    <w:p>
      <w:pPr>
        <w:pStyle w:val="ListBullet"/>
        <w:spacing w:after="40"/>
      </w:pPr>
      <w:r>
        <w:t>Runbooks for connector offline, Tally unavailable, stale data, failed report, and database restore.</w:t>
      </w:r>
    </w:p>
    <w:p>
      <w:pPr>
        <w:pStyle w:val="ListBullet"/>
        <w:spacing w:after="40"/>
      </w:pPr>
      <w:r>
        <w:t>CI checks: lint, type checks, unit tests, integration tests, dependency checks and migration validation.</w:t>
      </w:r>
    </w:p>
    <w:p>
      <w:pPr>
        <w:pStyle w:val="Heading2"/>
      </w:pPr>
      <w:r>
        <w:t>8.3 Production readiness definition</w:t>
      </w:r>
    </w:p>
    <w:p>
      <w:r>
        <w:t>For this pilot, production-ready means controlled real-user access, reproducible financial outputs, secure tenant boundaries, recoverable operations, and no known critical defects in the agreed scope. It does not mean enterprise certification or a guarantee of zero defects.</w:t>
      </w:r>
    </w:p>
    <w:p>
      <w:r>
        <w:br w:type="page"/>
      </w:r>
    </w:p>
    <w:p>
      <w:pPr>
        <w:pStyle w:val="Heading1"/>
      </w:pPr>
      <w:r>
        <w:t>9. Budget and Cost Model</w:t>
      </w:r>
    </w:p>
    <w:p>
      <w:pPr>
        <w:pStyle w:val="Heading2"/>
      </w:pPr>
      <w:r>
        <w:t>9.1 One-time build budget</w:t>
      </w:r>
    </w:p>
    <w:tbl>
      <w:tblPr>
        <w:tblStyle w:val="LightShading-Accent1"/>
        <w:tblW w:type="auto" w:w="0"/>
        <w:tblLayout w:type="autofit"/>
        <w:tblLook w:firstColumn="1" w:firstRow="1" w:lastColumn="0" w:lastRow="0" w:noHBand="0" w:noVBand="1" w:val="04A0"/>
      </w:tblPr>
      <w:tblGrid>
        <w:gridCol w:w="4997"/>
        <w:gridCol w:w="4997"/>
      </w:tblGrid>
      <w:tr>
        <w:tc>
          <w:tcPr>
            <w:tcW w:type="dxa" w:w="4997"/>
            <w:shd w:fill="17365D"/>
          </w:tcPr>
          <w:p>
            <w:r>
              <w:rPr>
                <w:b/>
                <w:color w:val="FFFFFF"/>
              </w:rPr>
              <w:t>Workstream</w:t>
            </w:r>
          </w:p>
        </w:tc>
        <w:tc>
          <w:tcPr>
            <w:tcW w:type="dxa" w:w="4997"/>
            <w:shd w:fill="17365D"/>
          </w:tcPr>
          <w:p>
            <w:r>
              <w:rPr>
                <w:b/>
                <w:color w:val="FFFFFF"/>
              </w:rPr>
              <w:t>Estimate</w:t>
            </w:r>
          </w:p>
        </w:tc>
      </w:tr>
      <w:tr>
        <w:tc>
          <w:tcPr>
            <w:tcW w:type="dxa" w:w="4997"/>
          </w:tcPr>
          <w:p>
            <w:pPr>
              <w:spacing w:after="40"/>
            </w:pPr>
            <w:r>
              <w:rPr>
                <w:sz w:val="17"/>
              </w:rPr>
              <w:t>Codebase audit, requirements, architecture</w:t>
            </w:r>
          </w:p>
        </w:tc>
        <w:tc>
          <w:tcPr>
            <w:tcW w:type="dxa" w:w="4997"/>
          </w:tcPr>
          <w:p>
            <w:pPr>
              <w:spacing w:after="40"/>
            </w:pPr>
            <w:r>
              <w:rPr>
                <w:sz w:val="17"/>
              </w:rPr>
              <w:t>₹4,000–₹7,000</w:t>
            </w:r>
          </w:p>
        </w:tc>
      </w:tr>
      <w:tr>
        <w:tc>
          <w:tcPr>
            <w:tcW w:type="dxa" w:w="4997"/>
          </w:tcPr>
          <w:p>
            <w:pPr>
              <w:spacing w:after="40"/>
            </w:pPr>
            <w:r>
              <w:rPr>
                <w:sz w:val="17"/>
              </w:rPr>
              <w:t>Frontend and dashboard</w:t>
            </w:r>
          </w:p>
        </w:tc>
        <w:tc>
          <w:tcPr>
            <w:tcW w:type="dxa" w:w="4997"/>
          </w:tcPr>
          <w:p>
            <w:pPr>
              <w:spacing w:after="40"/>
            </w:pPr>
            <w:r>
              <w:rPr>
                <w:sz w:val="17"/>
              </w:rPr>
              <w:t>₹8,000–₹15,000</w:t>
            </w:r>
          </w:p>
        </w:tc>
      </w:tr>
      <w:tr>
        <w:tc>
          <w:tcPr>
            <w:tcW w:type="dxa" w:w="4997"/>
          </w:tcPr>
          <w:p>
            <w:pPr>
              <w:spacing w:after="40"/>
            </w:pPr>
            <w:r>
              <w:rPr>
                <w:sz w:val="17"/>
              </w:rPr>
              <w:t>Backend, database, authentication, tenancy</w:t>
            </w:r>
          </w:p>
        </w:tc>
        <w:tc>
          <w:tcPr>
            <w:tcW w:type="dxa" w:w="4997"/>
          </w:tcPr>
          <w:p>
            <w:pPr>
              <w:spacing w:after="40"/>
            </w:pPr>
            <w:r>
              <w:rPr>
                <w:sz w:val="17"/>
              </w:rPr>
              <w:t>₹12,000–₹20,000</w:t>
            </w:r>
          </w:p>
        </w:tc>
      </w:tr>
      <w:tr>
        <w:tc>
          <w:tcPr>
            <w:tcW w:type="dxa" w:w="4997"/>
          </w:tcPr>
          <w:p>
            <w:pPr>
              <w:spacing w:after="40"/>
            </w:pPr>
            <w:r>
              <w:rPr>
                <w:sz w:val="17"/>
              </w:rPr>
              <w:t>Tally connector adaptation and testing</w:t>
            </w:r>
          </w:p>
        </w:tc>
        <w:tc>
          <w:tcPr>
            <w:tcW w:type="dxa" w:w="4997"/>
          </w:tcPr>
          <w:p>
            <w:pPr>
              <w:spacing w:after="40"/>
            </w:pPr>
            <w:r>
              <w:rPr>
                <w:sz w:val="17"/>
              </w:rPr>
              <w:t>₹10,000–₹18,000</w:t>
            </w:r>
          </w:p>
        </w:tc>
      </w:tr>
      <w:tr>
        <w:tc>
          <w:tcPr>
            <w:tcW w:type="dxa" w:w="4997"/>
          </w:tcPr>
          <w:p>
            <w:pPr>
              <w:spacing w:after="40"/>
            </w:pPr>
            <w:r>
              <w:rPr>
                <w:sz w:val="17"/>
              </w:rPr>
              <w:t>Financial reports and AI orchestration</w:t>
            </w:r>
          </w:p>
        </w:tc>
        <w:tc>
          <w:tcPr>
            <w:tcW w:type="dxa" w:w="4997"/>
          </w:tcPr>
          <w:p>
            <w:pPr>
              <w:spacing w:after="40"/>
            </w:pPr>
            <w:r>
              <w:rPr>
                <w:sz w:val="17"/>
              </w:rPr>
              <w:t>₹8,000–₹15,000</w:t>
            </w:r>
          </w:p>
        </w:tc>
      </w:tr>
      <w:tr>
        <w:tc>
          <w:tcPr>
            <w:tcW w:type="dxa" w:w="4997"/>
          </w:tcPr>
          <w:p>
            <w:pPr>
              <w:spacing w:after="40"/>
            </w:pPr>
            <w:r>
              <w:rPr>
                <w:sz w:val="17"/>
              </w:rPr>
              <w:t>QA, security checks, deployment and handover</w:t>
            </w:r>
          </w:p>
        </w:tc>
        <w:tc>
          <w:tcPr>
            <w:tcW w:type="dxa" w:w="4997"/>
          </w:tcPr>
          <w:p>
            <w:pPr>
              <w:spacing w:after="40"/>
            </w:pPr>
            <w:r>
              <w:rPr>
                <w:sz w:val="17"/>
              </w:rPr>
              <w:t>₹6,000–₹10,000</w:t>
            </w:r>
          </w:p>
        </w:tc>
      </w:tr>
      <w:tr>
        <w:tc>
          <w:tcPr>
            <w:tcW w:type="dxa" w:w="4997"/>
          </w:tcPr>
          <w:p>
            <w:pPr>
              <w:spacing w:after="40"/>
            </w:pPr>
            <w:r>
              <w:rPr>
                <w:sz w:val="17"/>
              </w:rPr>
              <w:t>Estimated total</w:t>
            </w:r>
          </w:p>
        </w:tc>
        <w:tc>
          <w:tcPr>
            <w:tcW w:type="dxa" w:w="4997"/>
          </w:tcPr>
          <w:p>
            <w:pPr>
              <w:spacing w:after="40"/>
            </w:pPr>
            <w:r>
              <w:rPr>
                <w:sz w:val="17"/>
              </w:rPr>
              <w:t>₹48,000–₹85,000</w:t>
            </w:r>
          </w:p>
        </w:tc>
      </w:tr>
    </w:tbl>
    <w:p>
      <w:pPr>
        <w:spacing w:after="20"/>
      </w:pPr>
    </w:p>
    <w:p>
      <w:r>
        <w:t>These are constrained planning estimates for existing staff/founder-led work or limited specialist contracting, not vendor quotes. Reserve ₹10,000–₹15,000 for unexpected integration issues if the cash ceiling permits. If total spending must remain below ₹1 lakh, keep scope tight and use contingency only when required.</w:t>
      </w:r>
    </w:p>
    <w:p>
      <w:pPr>
        <w:pStyle w:val="Heading2"/>
      </w:pPr>
      <w:r>
        <w:t>9.2 Monthly operating costs</w:t>
      </w:r>
    </w:p>
    <w:p>
      <w:r>
        <w:t>Planning scenario: 2–5 pilot businesses, modest report volume, no mobile app, no WhatsApp, and no Tally write-back. Costs depend on provider, currency conversion, usage, and region.</w:t>
      </w:r>
    </w:p>
    <w:tbl>
      <w:tblPr>
        <w:tblStyle w:val="LightShading-Accent1"/>
        <w:tblW w:type="auto" w:w="0"/>
        <w:tblLayout w:type="autofit"/>
        <w:tblLook w:firstColumn="1" w:firstRow="1" w:lastColumn="0" w:lastRow="0" w:noHBand="0" w:noVBand="1" w:val="04A0"/>
      </w:tblPr>
      <w:tblGrid>
        <w:gridCol w:w="4997"/>
        <w:gridCol w:w="4997"/>
      </w:tblGrid>
      <w:tr>
        <w:tc>
          <w:tcPr>
            <w:tcW w:type="dxa" w:w="4997"/>
            <w:shd w:fill="17365D"/>
          </w:tcPr>
          <w:p>
            <w:r>
              <w:rPr>
                <w:b/>
                <w:color w:val="FFFFFF"/>
              </w:rPr>
              <w:t>Cost item</w:t>
            </w:r>
          </w:p>
        </w:tc>
        <w:tc>
          <w:tcPr>
            <w:tcW w:type="dxa" w:w="4997"/>
            <w:shd w:fill="17365D"/>
          </w:tcPr>
          <w:p>
            <w:r>
              <w:rPr>
                <w:b/>
                <w:color w:val="FFFFFF"/>
              </w:rPr>
              <w:t>Monthly planning range</w:t>
            </w:r>
          </w:p>
        </w:tc>
      </w:tr>
      <w:tr>
        <w:tc>
          <w:tcPr>
            <w:tcW w:type="dxa" w:w="4997"/>
          </w:tcPr>
          <w:p>
            <w:pPr>
              <w:spacing w:after="40"/>
            </w:pPr>
            <w:r>
              <w:rPr>
                <w:sz w:val="17"/>
              </w:rPr>
              <w:t>Web hosting and API</w:t>
            </w:r>
          </w:p>
        </w:tc>
        <w:tc>
          <w:tcPr>
            <w:tcW w:type="dxa" w:w="4997"/>
          </w:tcPr>
          <w:p>
            <w:pPr>
              <w:spacing w:after="40"/>
            </w:pPr>
            <w:r>
              <w:rPr>
                <w:sz w:val="17"/>
              </w:rPr>
              <w:t>₹0–₹2,500</w:t>
            </w:r>
          </w:p>
        </w:tc>
      </w:tr>
      <w:tr>
        <w:tc>
          <w:tcPr>
            <w:tcW w:type="dxa" w:w="4997"/>
          </w:tcPr>
          <w:p>
            <w:pPr>
              <w:spacing w:after="40"/>
            </w:pPr>
            <w:r>
              <w:rPr>
                <w:sz w:val="17"/>
              </w:rPr>
              <w:t>PostgreSQL, authentication and backups</w:t>
            </w:r>
          </w:p>
        </w:tc>
        <w:tc>
          <w:tcPr>
            <w:tcW w:type="dxa" w:w="4997"/>
          </w:tcPr>
          <w:p>
            <w:pPr>
              <w:spacing w:after="40"/>
            </w:pPr>
            <w:r>
              <w:rPr>
                <w:sz w:val="17"/>
              </w:rPr>
              <w:t>₹0–₹2,500</w:t>
            </w:r>
          </w:p>
        </w:tc>
      </w:tr>
      <w:tr>
        <w:tc>
          <w:tcPr>
            <w:tcW w:type="dxa" w:w="4997"/>
          </w:tcPr>
          <w:p>
            <w:pPr>
              <w:spacing w:after="40"/>
            </w:pPr>
            <w:r>
              <w:rPr>
                <w:sz w:val="17"/>
              </w:rPr>
              <w:t>Domain, email and delivery services</w:t>
            </w:r>
          </w:p>
        </w:tc>
        <w:tc>
          <w:tcPr>
            <w:tcW w:type="dxa" w:w="4997"/>
          </w:tcPr>
          <w:p>
            <w:pPr>
              <w:spacing w:after="40"/>
            </w:pPr>
            <w:r>
              <w:rPr>
                <w:sz w:val="17"/>
              </w:rPr>
              <w:t>₹200–₹800</w:t>
            </w:r>
          </w:p>
        </w:tc>
      </w:tr>
      <w:tr>
        <w:tc>
          <w:tcPr>
            <w:tcW w:type="dxa" w:w="4997"/>
          </w:tcPr>
          <w:p>
            <w:pPr>
              <w:spacing w:after="40"/>
            </w:pPr>
            <w:r>
              <w:rPr>
                <w:sz w:val="17"/>
              </w:rPr>
              <w:t>AI API usage</w:t>
            </w:r>
          </w:p>
        </w:tc>
        <w:tc>
          <w:tcPr>
            <w:tcW w:type="dxa" w:w="4997"/>
          </w:tcPr>
          <w:p>
            <w:pPr>
              <w:spacing w:after="40"/>
            </w:pPr>
            <w:r>
              <w:rPr>
                <w:sz w:val="17"/>
              </w:rPr>
              <w:t>₹500–₹3,000</w:t>
            </w:r>
          </w:p>
        </w:tc>
      </w:tr>
      <w:tr>
        <w:tc>
          <w:tcPr>
            <w:tcW w:type="dxa" w:w="4997"/>
          </w:tcPr>
          <w:p>
            <w:pPr>
              <w:spacing w:after="40"/>
            </w:pPr>
            <w:r>
              <w:rPr>
                <w:sz w:val="17"/>
              </w:rPr>
              <w:t>Error monitoring and logs</w:t>
            </w:r>
          </w:p>
        </w:tc>
        <w:tc>
          <w:tcPr>
            <w:tcW w:type="dxa" w:w="4997"/>
          </w:tcPr>
          <w:p>
            <w:pPr>
              <w:spacing w:after="40"/>
            </w:pPr>
            <w:r>
              <w:rPr>
                <w:sz w:val="17"/>
              </w:rPr>
              <w:t>₹0–₹800</w:t>
            </w:r>
          </w:p>
        </w:tc>
      </w:tr>
      <w:tr>
        <w:tc>
          <w:tcPr>
            <w:tcW w:type="dxa" w:w="4997"/>
          </w:tcPr>
          <w:p>
            <w:pPr>
              <w:spacing w:after="40"/>
            </w:pPr>
            <w:r>
              <w:rPr>
                <w:sz w:val="17"/>
              </w:rPr>
              <w:t>Private file storage and exports</w:t>
            </w:r>
          </w:p>
        </w:tc>
        <w:tc>
          <w:tcPr>
            <w:tcW w:type="dxa" w:w="4997"/>
          </w:tcPr>
          <w:p>
            <w:pPr>
              <w:spacing w:after="40"/>
            </w:pPr>
            <w:r>
              <w:rPr>
                <w:sz w:val="17"/>
              </w:rPr>
              <w:t>₹0–₹500</w:t>
            </w:r>
          </w:p>
        </w:tc>
      </w:tr>
      <w:tr>
        <w:tc>
          <w:tcPr>
            <w:tcW w:type="dxa" w:w="4997"/>
          </w:tcPr>
          <w:p>
            <w:pPr>
              <w:spacing w:after="40"/>
            </w:pPr>
            <w:r>
              <w:rPr>
                <w:sz w:val="17"/>
              </w:rPr>
              <w:t>Miscellaneous/usage contingency</w:t>
            </w:r>
          </w:p>
        </w:tc>
        <w:tc>
          <w:tcPr>
            <w:tcW w:type="dxa" w:w="4997"/>
          </w:tcPr>
          <w:p>
            <w:pPr>
              <w:spacing w:after="40"/>
            </w:pPr>
            <w:r>
              <w:rPr>
                <w:sz w:val="17"/>
              </w:rPr>
              <w:t>₹500–₹1,500</w:t>
            </w:r>
          </w:p>
        </w:tc>
      </w:tr>
      <w:tr>
        <w:tc>
          <w:tcPr>
            <w:tcW w:type="dxa" w:w="4997"/>
          </w:tcPr>
          <w:p>
            <w:pPr>
              <w:spacing w:after="40"/>
            </w:pPr>
            <w:r>
              <w:rPr>
                <w:sz w:val="17"/>
              </w:rPr>
              <w:t>Indicative total</w:t>
            </w:r>
          </w:p>
        </w:tc>
        <w:tc>
          <w:tcPr>
            <w:tcW w:type="dxa" w:w="4997"/>
          </w:tcPr>
          <w:p>
            <w:pPr>
              <w:spacing w:after="40"/>
            </w:pPr>
            <w:r>
              <w:rPr>
                <w:sz w:val="17"/>
              </w:rPr>
              <w:t>₹1,200–₹11,600/month</w:t>
            </w:r>
          </w:p>
        </w:tc>
      </w:tr>
    </w:tbl>
    <w:p>
      <w:pPr>
        <w:spacing w:after="20"/>
      </w:pPr>
    </w:p>
    <w:tbl>
      <w:tblPr>
        <w:tblStyle w:val="TableGrid"/>
        <w:tblW w:type="auto" w:w="0"/>
        <w:tblLook w:firstColumn="1" w:firstRow="1" w:lastColumn="0" w:lastRow="0" w:noHBand="0" w:noVBand="1" w:val="04A0"/>
      </w:tblPr>
      <w:tblGrid>
        <w:gridCol w:w="9994"/>
      </w:tblGrid>
      <w:tr>
        <w:tc>
          <w:tcPr>
            <w:tcW w:type="dxa" w:w="9994"/>
            <w:shd w:fill="EAF2F8"/>
          </w:tcPr>
          <w:p>
            <w:r/>
            <w:r>
              <w:rPr>
                <w:b/>
                <w:color w:val="17365D"/>
              </w:rPr>
              <w:t>OPERATING TARGET</w:t>
              <w:br/>
            </w:r>
            <w:r>
              <w:t>A reasonable initial target is ₹3,000–₹6,000/month once real users begin using the product. Free tiers may reduce early costs, but their uptime, retention, backups, and limits must be checked before relying on them for real financial data.</w:t>
            </w:r>
          </w:p>
        </w:tc>
      </w:tr>
    </w:tbl>
    <w:p/>
    <w:p>
      <w:pPr>
        <w:pStyle w:val="Heading2"/>
      </w:pPr>
      <w:r>
        <w:t>9.3 Reference vendor prices to verify</w:t>
      </w:r>
    </w:p>
    <w:p>
      <w:pPr>
        <w:pStyle w:val="ListBullet"/>
        <w:spacing w:after="40"/>
      </w:pPr>
      <w:r>
        <w:t>Supabase published pricing: Pro plan starts at US$25/month; the Free plan has limits and may pause inactive projects. See https://supabase.com/pricing</w:t>
      </w:r>
    </w:p>
    <w:p>
      <w:pPr>
        <w:pStyle w:val="ListBullet"/>
        <w:spacing w:after="40"/>
      </w:pPr>
      <w:r>
        <w:t>Vercel published pricing: Pro plan starts at US$20/month; Hobby is intended for personal projects. See https://vercel.com/pricing</w:t>
      </w:r>
    </w:p>
    <w:p>
      <w:r>
        <w:t>These are reference prices, not an INR quotation; check current vendor pricing, tax, currency conversion, region availability and included limits before purchase.</w:t>
      </w:r>
    </w:p>
    <w:p>
      <w:pPr>
        <w:pStyle w:val="Heading2"/>
      </w:pPr>
      <w:r>
        <w:t>9.4 Illustrative AI usage calculation</w:t>
      </w:r>
    </w:p>
    <w:p>
      <w:r>
        <w:t>Assumption: one question uses 3,000 input tokens and 500 output tokens. Using the previously referenced example pricing of US$2 per million input tokens and US$10 per million output tokens:</w:t>
      </w:r>
    </w:p>
    <w:p>
      <w:r>
        <w:t>(3,000 × $2 + 500 × $10) / 1,000,000 = US$0.011 per question.</w:t>
      </w:r>
    </w:p>
    <w:p>
      <w:r>
        <w:t>At 10,000 questions, that illustrative usage is US$110 before extra calls, retries or other charges. This is a scenario, not a forecast. Model pricing and availability can change; verify the selected model's current price before budgeting. Measure token usage in the pilot and set per-user limits and budget alerts.</w:t>
      </w:r>
    </w:p>
    <w:p>
      <w:pPr>
        <w:pStyle w:val="Heading2"/>
      </w:pPr>
      <w:r>
        <w:t>9.5 Engineering capacity is a separate cost</w:t>
      </w:r>
    </w:p>
    <w:tbl>
      <w:tblPr>
        <w:tblStyle w:val="LightShading-Accent1"/>
        <w:tblW w:type="auto" w:w="0"/>
        <w:tblLayout w:type="autofit"/>
        <w:tblLook w:firstColumn="1" w:firstRow="1" w:lastColumn="0" w:lastRow="0" w:noHBand="0" w:noVBand="1" w:val="04A0"/>
      </w:tblPr>
      <w:tblGrid>
        <w:gridCol w:w="4997"/>
        <w:gridCol w:w="4997"/>
      </w:tblGrid>
      <w:tr>
        <w:tc>
          <w:tcPr>
            <w:tcW w:type="dxa" w:w="4997"/>
            <w:shd w:fill="17365D"/>
          </w:tcPr>
          <w:p>
            <w:r>
              <w:rPr>
                <w:b/>
                <w:color w:val="FFFFFF"/>
              </w:rPr>
              <w:t>Team situation</w:t>
            </w:r>
          </w:p>
        </w:tc>
        <w:tc>
          <w:tcPr>
            <w:tcW w:type="dxa" w:w="4997"/>
            <w:shd w:fill="17365D"/>
          </w:tcPr>
          <w:p>
            <w:r>
              <w:rPr>
                <w:b/>
                <w:color w:val="FFFFFF"/>
              </w:rPr>
              <w:t>Implication</w:t>
            </w:r>
          </w:p>
        </w:tc>
      </w:tr>
      <w:tr>
        <w:tc>
          <w:tcPr>
            <w:tcW w:type="dxa" w:w="4997"/>
          </w:tcPr>
          <w:p>
            <w:pPr>
              <w:spacing w:after="40"/>
            </w:pPr>
            <w:r>
              <w:rPr>
                <w:sz w:val="17"/>
              </w:rPr>
              <w:t>Two or three developers already available</w:t>
            </w:r>
          </w:p>
        </w:tc>
        <w:tc>
          <w:tcPr>
            <w:tcW w:type="dxa" w:w="4997"/>
          </w:tcPr>
          <w:p>
            <w:pPr>
              <w:spacing w:after="40"/>
            </w:pPr>
            <w:r>
              <w:rPr>
                <w:sz w:val="17"/>
              </w:rPr>
              <w:t>Best chance of meeting the deadline within the stated cash budget.</w:t>
            </w:r>
          </w:p>
        </w:tc>
      </w:tr>
      <w:tr>
        <w:tc>
          <w:tcPr>
            <w:tcW w:type="dxa" w:w="4997"/>
          </w:tcPr>
          <w:p>
            <w:pPr>
              <w:spacing w:after="40"/>
            </w:pPr>
            <w:r>
              <w:rPr>
                <w:sz w:val="17"/>
              </w:rPr>
              <w:t>One strong full-stack developer plus part-time support</w:t>
            </w:r>
          </w:p>
        </w:tc>
        <w:tc>
          <w:tcPr>
            <w:tcW w:type="dxa" w:w="4997"/>
          </w:tcPr>
          <w:p>
            <w:pPr>
              <w:spacing w:after="40"/>
            </w:pPr>
            <w:r>
              <w:rPr>
                <w:sz w:val="17"/>
              </w:rPr>
              <w:t>Possible if connector scope and reports remain limited.</w:t>
            </w:r>
          </w:p>
        </w:tc>
      </w:tr>
      <w:tr>
        <w:tc>
          <w:tcPr>
            <w:tcW w:type="dxa" w:w="4997"/>
          </w:tcPr>
          <w:p>
            <w:pPr>
              <w:spacing w:after="40"/>
            </w:pPr>
            <w:r>
              <w:rPr>
                <w:sz w:val="17"/>
              </w:rPr>
              <w:t>Freelancers hired for all work</w:t>
            </w:r>
          </w:p>
        </w:tc>
        <w:tc>
          <w:tcPr>
            <w:tcW w:type="dxa" w:w="4997"/>
          </w:tcPr>
          <w:p>
            <w:pPr>
              <w:spacing w:after="40"/>
            </w:pPr>
            <w:r>
              <w:rPr>
                <w:sz w:val="17"/>
              </w:rPr>
              <w:t>Budget may require substantial scope reductions or more time.</w:t>
            </w:r>
          </w:p>
        </w:tc>
      </w:tr>
      <w:tr>
        <w:tc>
          <w:tcPr>
            <w:tcW w:type="dxa" w:w="4997"/>
          </w:tcPr>
          <w:p>
            <w:pPr>
              <w:spacing w:after="40"/>
            </w:pPr>
            <w:r>
              <w:rPr>
                <w:sz w:val="17"/>
              </w:rPr>
              <w:t>Agency delivering everything end-to-end</w:t>
            </w:r>
          </w:p>
        </w:tc>
        <w:tc>
          <w:tcPr>
            <w:tcW w:type="dxa" w:w="4997"/>
          </w:tcPr>
          <w:p>
            <w:pPr>
              <w:spacing w:after="40"/>
            </w:pPr>
            <w:r>
              <w:rPr>
                <w:sz w:val="17"/>
              </w:rPr>
              <w:t>Budget and timeline are aggressive for a reliable live Tally product.</w:t>
            </w:r>
          </w:p>
        </w:tc>
      </w:tr>
    </w:tbl>
    <w:p>
      <w:pPr>
        <w:spacing w:after="20"/>
      </w:pPr>
    </w:p>
    <w:p>
      <w:r>
        <w:t>Do not treat the cash budget as evidence that all features can be delivered. Available engineering hours and integration skill are critical variables.</w:t>
      </w:r>
    </w:p>
    <w:p>
      <w:r>
        <w:br w:type="page"/>
      </w:r>
    </w:p>
    <w:p>
      <w:pPr>
        <w:pStyle w:val="Heading1"/>
      </w:pPr>
      <w:r>
        <w:t>10. Thirty-Day Delivery Roadmap</w:t>
      </w:r>
    </w:p>
    <w:p>
      <w:r>
        <w:t>Assumption: the team can work in parallel on frontend, backend, and connector. If one developer must do everything sequentially, reduce pilot scope.</w:t>
      </w:r>
    </w:p>
    <w:p>
      <w:pPr>
        <w:pStyle w:val="Heading2"/>
      </w:pPr>
      <w:r>
        <w:t>Days 1–3 — Audit and discovery</w:t>
      </w:r>
    </w:p>
    <w:p>
      <w:pPr>
        <w:pStyle w:val="ListBullet"/>
        <w:spacing w:after="40"/>
      </w:pPr>
      <w:r>
        <w:t>Clone and inspect E-Munshi and Tally MCP repositories.</w:t>
      </w:r>
    </w:p>
    <w:p>
      <w:pPr>
        <w:pStyle w:val="ListBullet"/>
        <w:spacing w:after="40"/>
      </w:pPr>
      <w:r>
        <w:t>Identify stack, backend, database, deployment, license and dependency status.</w:t>
      </w:r>
    </w:p>
    <w:p>
      <w:pPr>
        <w:pStyle w:val="ListBullet"/>
        <w:spacing w:after="40"/>
      </w:pPr>
      <w:r>
        <w:t>Run the existing app and document what works.</w:t>
      </w:r>
    </w:p>
    <w:p>
      <w:pPr>
        <w:pStyle w:val="ListBullet"/>
        <w:spacing w:after="40"/>
      </w:pPr>
      <w:r>
        <w:t>Choose initial reports and pilot workflow.</w:t>
      </w:r>
    </w:p>
    <w:p>
      <w:pPr>
        <w:pStyle w:val="ListBullet"/>
        <w:spacing w:after="40"/>
      </w:pPr>
      <w:r>
        <w:t>Define tenant, user, company, connector, report and audit data models.</w:t>
      </w:r>
    </w:p>
    <w:p>
      <w:pPr>
        <w:pStyle w:val="ListBullet"/>
        <w:spacing w:after="40"/>
      </w:pPr>
      <w:r>
        <w:t>Write initial ADRs and threat model.</w:t>
      </w:r>
    </w:p>
    <w:p>
      <w:r>
        <w:rPr>
          <w:b/>
        </w:rPr>
        <w:t xml:space="preserve">Exit criterion: </w:t>
      </w:r>
      <w:r>
        <w:t>Architecture approved, working development environments, and no unresolved license or connector feasibility blocker.</w:t>
      </w:r>
    </w:p>
    <w:p>
      <w:pPr>
        <w:pStyle w:val="Heading2"/>
      </w:pPr>
      <w:r>
        <w:t>Days 4–7 — Foundation and Tally proof of concept</w:t>
      </w:r>
    </w:p>
    <w:p>
      <w:pPr>
        <w:pStyle w:val="ListBullet"/>
        <w:spacing w:after="40"/>
      </w:pPr>
      <w:r>
        <w:t>Set up repositories, CI checks, environment configuration and deployments.</w:t>
      </w:r>
    </w:p>
    <w:p>
      <w:pPr>
        <w:pStyle w:val="ListBullet"/>
        <w:spacing w:after="40"/>
      </w:pPr>
      <w:r>
        <w:t>Implement authentication, organization membership and database migrations.</w:t>
      </w:r>
    </w:p>
    <w:p>
      <w:pPr>
        <w:pStyle w:val="ListBullet"/>
        <w:spacing w:after="40"/>
      </w:pPr>
      <w:r>
        <w:t>Build first Tally connection from a Windows development machine.</w:t>
      </w:r>
    </w:p>
    <w:p>
      <w:pPr>
        <w:pStyle w:val="ListBullet"/>
        <w:spacing w:after="40"/>
      </w:pPr>
      <w:r>
        <w:t>Retrieve one report, such as trial balance, and compare it with Tally.</w:t>
      </w:r>
    </w:p>
    <w:p>
      <w:pPr>
        <w:pStyle w:val="ListBullet"/>
        <w:spacing w:after="40"/>
      </w:pPr>
      <w:r>
        <w:t>Define the API contract between frontend and backend.</w:t>
      </w:r>
    </w:p>
    <w:p>
      <w:r>
        <w:rPr>
          <w:b/>
        </w:rPr>
        <w:t xml:space="preserve">Exit criterion: </w:t>
      </w:r>
      <w:r>
        <w:t>Signed-in user can select a company and retrieve a verified report from a test Tally instance.</w:t>
      </w:r>
    </w:p>
    <w:p>
      <w:pPr>
        <w:pStyle w:val="Heading2"/>
      </w:pPr>
      <w:r>
        <w:t>Days 8–14 — Financial engine and core UI</w:t>
      </w:r>
    </w:p>
    <w:p>
      <w:pPr>
        <w:pStyle w:val="ListBullet"/>
        <w:spacing w:after="40"/>
      </w:pPr>
      <w:r>
        <w:t>Build connector pairing, health checks and retry handling.</w:t>
      </w:r>
    </w:p>
    <w:p>
      <w:pPr>
        <w:pStyle w:val="ListBullet"/>
        <w:spacing w:after="40"/>
      </w:pPr>
      <w:r>
        <w:t>Implement initial report adapters.</w:t>
      </w:r>
    </w:p>
    <w:p>
      <w:pPr>
        <w:pStyle w:val="ListBullet"/>
        <w:spacing w:after="40"/>
      </w:pPr>
      <w:r>
        <w:t>Build dashboard, report filters, loading/error/empty states.</w:t>
      </w:r>
    </w:p>
    <w:p>
      <w:pPr>
        <w:pStyle w:val="ListBullet"/>
        <w:spacing w:after="40"/>
      </w:pPr>
      <w:r>
        <w:t>Add ledger and outstanding-bill views.</w:t>
      </w:r>
    </w:p>
    <w:p>
      <w:pPr>
        <w:pStyle w:val="ListBullet"/>
        <w:spacing w:after="40"/>
      </w:pPr>
      <w:r>
        <w:t>Implement deterministic calculations and source metadata.</w:t>
      </w:r>
    </w:p>
    <w:p>
      <w:pPr>
        <w:pStyle w:val="ListBullet"/>
        <w:spacing w:after="40"/>
      </w:pPr>
      <w:r>
        <w:t>Add organization-level authorization tests.</w:t>
      </w:r>
    </w:p>
    <w:p>
      <w:r>
        <w:rPr>
          <w:b/>
        </w:rPr>
        <w:t xml:space="preserve">Exit criterion: </w:t>
      </w:r>
      <w:r>
        <w:t>Initial reports work end-to-end and totals/date ranges match agreed Tally reference outputs.</w:t>
      </w:r>
    </w:p>
    <w:p>
      <w:pPr>
        <w:pStyle w:val="Heading2"/>
      </w:pPr>
      <w:r>
        <w:t>Days 15–21 — AI chat, exports and jobs</w:t>
      </w:r>
    </w:p>
    <w:p>
      <w:pPr>
        <w:pStyle w:val="ListBullet"/>
        <w:spacing w:after="40"/>
      </w:pPr>
      <w:r>
        <w:t>Implement allowlisted finance tools and AI orchestration.</w:t>
      </w:r>
    </w:p>
    <w:p>
      <w:pPr>
        <w:pStyle w:val="ListBullet"/>
        <w:spacing w:after="40"/>
      </w:pPr>
      <w:r>
        <w:t>Add clarification for ambiguous dates, companies and metrics.</w:t>
      </w:r>
    </w:p>
    <w:p>
      <w:pPr>
        <w:pStyle w:val="ListBullet"/>
        <w:spacing w:after="40"/>
      </w:pPr>
      <w:r>
        <w:t>Build answer provenance, report exports and basic audit viewer.</w:t>
      </w:r>
    </w:p>
    <w:p>
      <w:pPr>
        <w:pStyle w:val="ListBullet"/>
        <w:spacing w:after="40"/>
      </w:pPr>
      <w:r>
        <w:t>Add job retries, timeouts, idempotency and connector recovery.</w:t>
      </w:r>
    </w:p>
    <w:p>
      <w:pPr>
        <w:pStyle w:val="ListBullet"/>
        <w:spacing w:after="40"/>
      </w:pPr>
      <w:r>
        <w:t>Implement first polished workpack only if core reports are stable.</w:t>
      </w:r>
    </w:p>
    <w:p>
      <w:pPr>
        <w:pStyle w:val="ListBullet"/>
        <w:spacing w:after="40"/>
      </w:pPr>
      <w:r>
        <w:t>Test large, empty, malformed and inconsistent datasets.</w:t>
      </w:r>
    </w:p>
    <w:p>
      <w:r>
        <w:rPr>
          <w:b/>
        </w:rPr>
        <w:t xml:space="preserve">Exit criterion: </w:t>
      </w:r>
      <w:r>
        <w:t>Supported questions return validated answers; unsupported requests fail safely; failures are visible and recoverable.</w:t>
      </w:r>
    </w:p>
    <w:p>
      <w:pPr>
        <w:pStyle w:val="Heading2"/>
      </w:pPr>
      <w:r>
        <w:t>Days 22–26 — Security and pilot acceptance</w:t>
      </w:r>
    </w:p>
    <w:p>
      <w:pPr>
        <w:pStyle w:val="ListBullet"/>
        <w:spacing w:after="40"/>
      </w:pPr>
      <w:r>
        <w:t>Test cross-tenant access, role enforcement, pairing and session expiry.</w:t>
      </w:r>
    </w:p>
    <w:p>
      <w:pPr>
        <w:pStyle w:val="ListBullet"/>
        <w:spacing w:after="40"/>
      </w:pPr>
      <w:r>
        <w:t>Verify reports against agreed reference outputs from Tally.</w:t>
      </w:r>
    </w:p>
    <w:p>
      <w:pPr>
        <w:pStyle w:val="ListBullet"/>
        <w:spacing w:after="40"/>
      </w:pPr>
      <w:r>
        <w:t>Test database backup and restore.</w:t>
      </w:r>
    </w:p>
    <w:p>
      <w:pPr>
        <w:pStyle w:val="ListBullet"/>
        <w:spacing w:after="40"/>
      </w:pPr>
      <w:r>
        <w:t>Add production logging, alerts and rate limits.</w:t>
      </w:r>
    </w:p>
    <w:p>
      <w:pPr>
        <w:pStyle w:val="ListBullet"/>
        <w:spacing w:after="40"/>
      </w:pPr>
      <w:r>
        <w:t>Package connector and test on a clean Windows machine.</w:t>
      </w:r>
    </w:p>
    <w:p>
      <w:pPr>
        <w:pStyle w:val="ListBullet"/>
        <w:spacing w:after="40"/>
      </w:pPr>
      <w:r>
        <w:t>Onboard one internal or friendly pilot customer.</w:t>
      </w:r>
    </w:p>
    <w:p>
      <w:r>
        <w:rPr>
          <w:b/>
        </w:rPr>
        <w:t xml:space="preserve">Exit criterion: </w:t>
      </w:r>
      <w:r>
        <w:t>No known critical security defects, report reconciliation passes, and installation is repeatable.</w:t>
      </w:r>
    </w:p>
    <w:p>
      <w:pPr>
        <w:pStyle w:val="Heading2"/>
      </w:pPr>
      <w:r>
        <w:t>Days 27–30 — Controlled pilot launch</w:t>
      </w:r>
    </w:p>
    <w:p>
      <w:pPr>
        <w:pStyle w:val="ListBullet"/>
        <w:spacing w:after="40"/>
      </w:pPr>
      <w:r>
        <w:t>Onboard remaining pilot users.</w:t>
      </w:r>
    </w:p>
    <w:p>
      <w:pPr>
        <w:pStyle w:val="ListBullet"/>
        <w:spacing w:after="40"/>
      </w:pPr>
      <w:r>
        <w:t>Monitor answer quality, connector uptime, API failures and costs.</w:t>
      </w:r>
    </w:p>
    <w:p>
      <w:pPr>
        <w:pStyle w:val="ListBullet"/>
        <w:spacing w:after="40"/>
      </w:pPr>
      <w:r>
        <w:t>Fix highest-severity bugs.</w:t>
      </w:r>
    </w:p>
    <w:p>
      <w:pPr>
        <w:pStyle w:val="ListBullet"/>
        <w:spacing w:after="40"/>
      </w:pPr>
      <w:r>
        <w:t>Write user onboarding and support documentation.</w:t>
      </w:r>
    </w:p>
    <w:p>
      <w:pPr>
        <w:pStyle w:val="ListBullet"/>
        <w:spacing w:after="40"/>
      </w:pPr>
      <w:r>
        <w:t>Record known limitations and next development backlog.</w:t>
      </w:r>
    </w:p>
    <w:p>
      <w:r>
        <w:rPr>
          <w:b/>
        </w:rPr>
        <w:t xml:space="preserve">Exit criterion: </w:t>
      </w:r>
      <w:r>
        <w:t>Small group of real customers can connect Tally, generate reports, ask supported questions, and recover from common errors.</w:t>
      </w:r>
    </w:p>
    <w:p>
      <w:pPr>
        <w:pStyle w:val="Heading2"/>
      </w:pPr>
      <w:r>
        <w:t>10.1 Team ownership</w:t>
      </w:r>
    </w:p>
    <w:tbl>
      <w:tblPr>
        <w:tblStyle w:val="LightShading-Accent1"/>
        <w:tblW w:type="auto" w:w="0"/>
        <w:tblLayout w:type="autofit"/>
        <w:tblLook w:firstColumn="1" w:firstRow="1" w:lastColumn="0" w:lastRow="0" w:noHBand="0" w:noVBand="1" w:val="04A0"/>
      </w:tblPr>
      <w:tblGrid>
        <w:gridCol w:w="4997"/>
        <w:gridCol w:w="4997"/>
      </w:tblGrid>
      <w:tr>
        <w:tc>
          <w:tcPr>
            <w:tcW w:type="dxa" w:w="4997"/>
            <w:shd w:fill="17365D"/>
          </w:tcPr>
          <w:p>
            <w:r>
              <w:rPr>
                <w:b/>
                <w:color w:val="FFFFFF"/>
              </w:rPr>
              <w:t>Role / responsibility</w:t>
            </w:r>
          </w:p>
        </w:tc>
        <w:tc>
          <w:tcPr>
            <w:tcW w:type="dxa" w:w="4997"/>
            <w:shd w:fill="17365D"/>
          </w:tcPr>
          <w:p>
            <w:r>
              <w:rPr>
                <w:b/>
                <w:color w:val="FFFFFF"/>
              </w:rPr>
              <w:t>Primary ownership</w:t>
            </w:r>
          </w:p>
        </w:tc>
      </w:tr>
      <w:tr>
        <w:tc>
          <w:tcPr>
            <w:tcW w:type="dxa" w:w="4997"/>
          </w:tcPr>
          <w:p>
            <w:pPr>
              <w:spacing w:after="40"/>
            </w:pPr>
            <w:r>
              <w:rPr>
                <w:sz w:val="17"/>
              </w:rPr>
              <w:t>Backend/integration developer</w:t>
            </w:r>
          </w:p>
        </w:tc>
        <w:tc>
          <w:tcPr>
            <w:tcW w:type="dxa" w:w="4997"/>
          </w:tcPr>
          <w:p>
            <w:pPr>
              <w:spacing w:after="40"/>
            </w:pPr>
            <w:r>
              <w:rPr>
                <w:sz w:val="17"/>
              </w:rPr>
              <w:t>Tally connector, APIs, data model, financial engine and AI tools.</w:t>
            </w:r>
          </w:p>
        </w:tc>
      </w:tr>
      <w:tr>
        <w:tc>
          <w:tcPr>
            <w:tcW w:type="dxa" w:w="4997"/>
          </w:tcPr>
          <w:p>
            <w:pPr>
              <w:spacing w:after="40"/>
            </w:pPr>
            <w:r>
              <w:rPr>
                <w:sz w:val="17"/>
              </w:rPr>
              <w:t>Frontend developer</w:t>
            </w:r>
          </w:p>
        </w:tc>
        <w:tc>
          <w:tcPr>
            <w:tcW w:type="dxa" w:w="4997"/>
          </w:tcPr>
          <w:p>
            <w:pPr>
              <w:spacing w:after="40"/>
            </w:pPr>
            <w:r>
              <w:rPr>
                <w:sz w:val="17"/>
              </w:rPr>
              <w:t>Dashboard, chat, report pages, onboarding and UX.</w:t>
            </w:r>
          </w:p>
        </w:tc>
      </w:tr>
      <w:tr>
        <w:tc>
          <w:tcPr>
            <w:tcW w:type="dxa" w:w="4997"/>
          </w:tcPr>
          <w:p>
            <w:pPr>
              <w:spacing w:after="40"/>
            </w:pPr>
            <w:r>
              <w:rPr>
                <w:sz w:val="17"/>
              </w:rPr>
              <w:t>QA/DevOps or shared engineer</w:t>
            </w:r>
          </w:p>
        </w:tc>
        <w:tc>
          <w:tcPr>
            <w:tcW w:type="dxa" w:w="4997"/>
          </w:tcPr>
          <w:p>
            <w:pPr>
              <w:spacing w:after="40"/>
            </w:pPr>
            <w:r>
              <w:rPr>
                <w:sz w:val="17"/>
              </w:rPr>
              <w:t>Test datasets, CI/CD, tenant isolation, monitoring, backup/restore and release.</w:t>
            </w:r>
          </w:p>
        </w:tc>
      </w:tr>
      <w:tr>
        <w:tc>
          <w:tcPr>
            <w:tcW w:type="dxa" w:w="4997"/>
          </w:tcPr>
          <w:p>
            <w:pPr>
              <w:spacing w:after="40"/>
            </w:pPr>
            <w:r>
              <w:rPr>
                <w:sz w:val="17"/>
              </w:rPr>
              <w:t>Product owner</w:t>
            </w:r>
          </w:p>
        </w:tc>
        <w:tc>
          <w:tcPr>
            <w:tcW w:type="dxa" w:w="4997"/>
          </w:tcPr>
          <w:p>
            <w:pPr>
              <w:spacing w:after="40"/>
            </w:pPr>
            <w:r>
              <w:rPr>
                <w:sz w:val="17"/>
              </w:rPr>
              <w:t>Scope decisions, customer interviews, report definitions and acceptance criteria.</w:t>
            </w:r>
          </w:p>
        </w:tc>
      </w:tr>
    </w:tbl>
    <w:p>
      <w:pPr>
        <w:spacing w:after="20"/>
      </w:pPr>
    </w:p>
    <w:p>
      <w:r>
        <w:t>These are responsibilities, not necessarily four full-time hires. People may own multiple areas, but security and financial-correctness testing must have explicit ownership.</w:t>
      </w:r>
    </w:p>
    <w:p>
      <w:r>
        <w:br w:type="page"/>
      </w:r>
    </w:p>
    <w:p>
      <w:pPr>
        <w:pStyle w:val="Heading1"/>
      </w:pPr>
      <w:r>
        <w:t>11. Feature Acceptance Criteria</w:t>
      </w:r>
    </w:p>
    <w:tbl>
      <w:tblPr>
        <w:tblStyle w:val="LightShading-Accent1"/>
        <w:tblW w:type="auto" w:w="0"/>
        <w:tblLayout w:type="autofit"/>
        <w:tblLook w:firstColumn="1" w:firstRow="1" w:lastColumn="0" w:lastRow="0" w:noHBand="0" w:noVBand="1" w:val="04A0"/>
      </w:tblPr>
      <w:tblGrid>
        <w:gridCol w:w="4997"/>
        <w:gridCol w:w="4997"/>
      </w:tblGrid>
      <w:tr>
        <w:tc>
          <w:tcPr>
            <w:tcW w:type="dxa" w:w="4997"/>
            <w:shd w:fill="17365D"/>
          </w:tcPr>
          <w:p>
            <w:r>
              <w:rPr>
                <w:b/>
                <w:color w:val="FFFFFF"/>
              </w:rPr>
              <w:t>Feature</w:t>
            </w:r>
          </w:p>
        </w:tc>
        <w:tc>
          <w:tcPr>
            <w:tcW w:type="dxa" w:w="4997"/>
            <w:shd w:fill="17365D"/>
          </w:tcPr>
          <w:p>
            <w:r>
              <w:rPr>
                <w:b/>
                <w:color w:val="FFFFFF"/>
              </w:rPr>
              <w:t>Definition of done</w:t>
            </w:r>
          </w:p>
        </w:tc>
      </w:tr>
      <w:tr>
        <w:tc>
          <w:tcPr>
            <w:tcW w:type="dxa" w:w="4997"/>
          </w:tcPr>
          <w:p>
            <w:pPr>
              <w:spacing w:after="40"/>
            </w:pPr>
            <w:r>
              <w:rPr>
                <w:sz w:val="17"/>
              </w:rPr>
              <w:t>Connect Tally</w:t>
            </w:r>
          </w:p>
        </w:tc>
        <w:tc>
          <w:tcPr>
            <w:tcW w:type="dxa" w:w="4997"/>
          </w:tcPr>
          <w:p>
            <w:pPr>
              <w:spacing w:after="40"/>
            </w:pPr>
            <w:r>
              <w:rPr>
                <w:sz w:val="17"/>
              </w:rPr>
              <w:t>Customer can pair connector and see correct company and connection health.</w:t>
            </w:r>
          </w:p>
        </w:tc>
      </w:tr>
      <w:tr>
        <w:tc>
          <w:tcPr>
            <w:tcW w:type="dxa" w:w="4997"/>
          </w:tcPr>
          <w:p>
            <w:pPr>
              <w:spacing w:after="40"/>
            </w:pPr>
            <w:r>
              <w:rPr>
                <w:sz w:val="17"/>
              </w:rPr>
              <w:t>Financial reports</w:t>
            </w:r>
          </w:p>
        </w:tc>
        <w:tc>
          <w:tcPr>
            <w:tcW w:type="dxa" w:w="4997"/>
          </w:tcPr>
          <w:p>
            <w:pPr>
              <w:spacing w:after="40"/>
            </w:pPr>
            <w:r>
              <w:rPr>
                <w:sz w:val="17"/>
              </w:rPr>
              <w:t>Totals match Tally output for the same company and agreed test periods.</w:t>
            </w:r>
          </w:p>
        </w:tc>
      </w:tr>
      <w:tr>
        <w:tc>
          <w:tcPr>
            <w:tcW w:type="dxa" w:w="4997"/>
          </w:tcPr>
          <w:p>
            <w:pPr>
              <w:spacing w:after="40"/>
            </w:pPr>
            <w:r>
              <w:rPr>
                <w:sz w:val="17"/>
              </w:rPr>
              <w:t>AI finance chat</w:t>
            </w:r>
          </w:p>
        </w:tc>
        <w:tc>
          <w:tcPr>
            <w:tcW w:type="dxa" w:w="4997"/>
          </w:tcPr>
          <w:p>
            <w:pPr>
              <w:spacing w:after="40"/>
            </w:pPr>
            <w:r>
              <w:rPr>
                <w:sz w:val="17"/>
              </w:rPr>
              <w:t>Questions map to permitted tools; ambiguous requests trigger clarification; unsupported requests fail safely.</w:t>
            </w:r>
          </w:p>
        </w:tc>
      </w:tr>
      <w:tr>
        <w:tc>
          <w:tcPr>
            <w:tcW w:type="dxa" w:w="4997"/>
          </w:tcPr>
          <w:p>
            <w:pPr>
              <w:spacing w:after="40"/>
            </w:pPr>
            <w:r>
              <w:rPr>
                <w:sz w:val="17"/>
              </w:rPr>
              <w:t>Source tracing</w:t>
            </w:r>
          </w:p>
        </w:tc>
        <w:tc>
          <w:tcPr>
            <w:tcW w:type="dxa" w:w="4997"/>
          </w:tcPr>
          <w:p>
            <w:pPr>
              <w:spacing w:after="40"/>
            </w:pPr>
            <w:r>
              <w:rPr>
                <w:sz w:val="17"/>
              </w:rPr>
              <w:t>Figures trace to report results or relevant ledger/voucher references.</w:t>
            </w:r>
          </w:p>
        </w:tc>
      </w:tr>
      <w:tr>
        <w:tc>
          <w:tcPr>
            <w:tcW w:type="dxa" w:w="4997"/>
          </w:tcPr>
          <w:p>
            <w:pPr>
              <w:spacing w:after="40"/>
            </w:pPr>
            <w:r>
              <w:rPr>
                <w:sz w:val="17"/>
              </w:rPr>
              <w:t>Tenant security</w:t>
            </w:r>
          </w:p>
        </w:tc>
        <w:tc>
          <w:tcPr>
            <w:tcW w:type="dxa" w:w="4997"/>
          </w:tcPr>
          <w:p>
            <w:pPr>
              <w:spacing w:after="40"/>
            </w:pPr>
            <w:r>
              <w:rPr>
                <w:sz w:val="17"/>
              </w:rPr>
              <w:t>A user in one organization cannot read another organization's records by changing URL/API identifiers.</w:t>
            </w:r>
          </w:p>
        </w:tc>
      </w:tr>
      <w:tr>
        <w:tc>
          <w:tcPr>
            <w:tcW w:type="dxa" w:w="4997"/>
          </w:tcPr>
          <w:p>
            <w:pPr>
              <w:spacing w:after="40"/>
            </w:pPr>
            <w:r>
              <w:rPr>
                <w:sz w:val="17"/>
              </w:rPr>
              <w:t>Report export</w:t>
            </w:r>
          </w:p>
        </w:tc>
        <w:tc>
          <w:tcPr>
            <w:tcW w:type="dxa" w:w="4997"/>
          </w:tcPr>
          <w:p>
            <w:pPr>
              <w:spacing w:after="40"/>
            </w:pPr>
            <w:r>
              <w:rPr>
                <w:sz w:val="17"/>
              </w:rPr>
              <w:t>Company, date range, figures and totals match the on-screen report.</w:t>
            </w:r>
          </w:p>
        </w:tc>
      </w:tr>
      <w:tr>
        <w:tc>
          <w:tcPr>
            <w:tcW w:type="dxa" w:w="4997"/>
          </w:tcPr>
          <w:p>
            <w:pPr>
              <w:spacing w:after="40"/>
            </w:pPr>
            <w:r>
              <w:rPr>
                <w:sz w:val="17"/>
              </w:rPr>
              <w:t>Recovery</w:t>
            </w:r>
          </w:p>
        </w:tc>
        <w:tc>
          <w:tcPr>
            <w:tcW w:type="dxa" w:w="4997"/>
          </w:tcPr>
          <w:p>
            <w:pPr>
              <w:spacing w:after="40"/>
            </w:pPr>
            <w:r>
              <w:rPr>
                <w:sz w:val="17"/>
              </w:rPr>
              <w:t>Interrupted sync can retry without duplicating or corrupting data.</w:t>
            </w:r>
          </w:p>
        </w:tc>
      </w:tr>
      <w:tr>
        <w:tc>
          <w:tcPr>
            <w:tcW w:type="dxa" w:w="4997"/>
          </w:tcPr>
          <w:p>
            <w:pPr>
              <w:spacing w:after="40"/>
            </w:pPr>
            <w:r>
              <w:rPr>
                <w:sz w:val="17"/>
              </w:rPr>
              <w:t>Production deployment</w:t>
            </w:r>
          </w:p>
        </w:tc>
        <w:tc>
          <w:tcPr>
            <w:tcW w:type="dxa" w:w="4997"/>
          </w:tcPr>
          <w:p>
            <w:pPr>
              <w:spacing w:after="40"/>
            </w:pPr>
            <w:r>
              <w:rPr>
                <w:sz w:val="17"/>
              </w:rPr>
              <w:t>HTTPS, managed secrets, backups, error reporting and tested recovery procedure are in place.</w:t>
            </w:r>
          </w:p>
        </w:tc>
      </w:tr>
    </w:tbl>
    <w:p>
      <w:pPr>
        <w:spacing w:after="20"/>
      </w:pPr>
    </w:p>
    <w:p>
      <w:pPr>
        <w:pStyle w:val="Heading1"/>
      </w:pPr>
      <w:r>
        <w:t>12. Using AI to Build the Product Safely</w:t>
      </w:r>
    </w:p>
    <w:p>
      <w:pPr>
        <w:pStyle w:val="ListBullet"/>
        <w:spacing w:after="40"/>
      </w:pPr>
      <w:r>
        <w:t>Work from written requirements and accepted ADRs.</w:t>
      </w:r>
    </w:p>
    <w:p>
      <w:pPr>
        <w:pStyle w:val="ListBullet"/>
        <w:spacing w:after="40"/>
      </w:pPr>
      <w:r>
        <w:t>Implement small changes with explicit acceptance criteria.</w:t>
      </w:r>
    </w:p>
    <w:p>
      <w:pPr>
        <w:pStyle w:val="ListBullet"/>
        <w:spacing w:after="40"/>
      </w:pPr>
      <w:r>
        <w:t>Generate unit tests alongside financial calculations.</w:t>
      </w:r>
    </w:p>
    <w:p>
      <w:pPr>
        <w:pStyle w:val="ListBullet"/>
        <w:spacing w:after="40"/>
      </w:pPr>
      <w:r>
        <w:t>Manually review security-sensitive changes.</w:t>
      </w:r>
    </w:p>
    <w:p>
      <w:pPr>
        <w:pStyle w:val="ListBullet"/>
        <w:spacing w:after="40"/>
      </w:pPr>
      <w:r>
        <w:t>Keep secrets, production data and credentials out of prompts.</w:t>
      </w:r>
    </w:p>
    <w:p>
      <w:pPr>
        <w:pStyle w:val="ListBullet"/>
        <w:spacing w:after="40"/>
      </w:pPr>
      <w:r>
        <w:t>Run linting, type checks, automated tests and integration tests before merging.</w:t>
      </w:r>
    </w:p>
    <w:p>
      <w:pPr>
        <w:pStyle w:val="ListBullet"/>
        <w:spacing w:after="40"/>
      </w:pPr>
      <w:r>
        <w:t>Do not allow an AI agent to independently change database schema, connector security and authentication without review.</w:t>
      </w:r>
    </w:p>
    <w:p>
      <w:pPr>
        <w:pStyle w:val="ListBullet"/>
        <w:spacing w:after="40"/>
      </w:pPr>
      <w:r>
        <w:t>Optimize for code the team can understand, test, debug and maintain—not code volume or speed of initial generation.</w:t>
      </w:r>
    </w:p>
    <w:p>
      <w:r>
        <w:br w:type="page"/>
      </w:r>
    </w:p>
    <w:p>
      <w:pPr>
        <w:pStyle w:val="Heading1"/>
      </w:pPr>
      <w:r>
        <w:t>13. Immediate Next Steps and Open Questions</w:t>
      </w:r>
    </w:p>
    <w:p>
      <w:pPr>
        <w:pStyle w:val="Heading2"/>
      </w:pPr>
      <w:r>
        <w:t>13.1 First three engineering tasks</w:t>
      </w:r>
    </w:p>
    <w:p>
      <w:pPr>
        <w:pStyle w:val="Heading3"/>
      </w:pPr>
      <w:r>
        <w:t>Task 1 — Audit both repositories</w:t>
      </w:r>
    </w:p>
    <w:p>
      <w:r>
        <w:t>Deliverable: a codebase audit and a keep/adapt/replace/build-from-scratch decision list. Establish the stack, run the app, inspect the MCP license/source, and identify production gaps.</w:t>
      </w:r>
    </w:p>
    <w:p>
      <w:pPr>
        <w:pStyle w:val="Heading3"/>
      </w:pPr>
      <w:r>
        <w:t>Task 2 — Prove the Tally integration</w:t>
      </w:r>
    </w:p>
    <w:p>
      <w:r>
        <w:t>Deliverable: a working, repeatable, read-only Tally integration on a test Windows machine, with a reference dataset and report totals verified against Tally. Test reconnection after failure.</w:t>
      </w:r>
    </w:p>
    <w:p>
      <w:pPr>
        <w:pStyle w:val="Heading3"/>
      </w:pPr>
      <w:r>
        <w:t>Task 3 — Build one end-to-end journey</w:t>
      </w:r>
    </w:p>
    <w:p>
      <w:r>
        <w:t>Deliverable: sign in → select company → view trial balance → ask a supported question → receive a verified answer with source information. This must cross the actual frontend, backend, database, AI and connector.</w:t>
      </w:r>
    </w:p>
    <w:p>
      <w:pPr>
        <w:pStyle w:val="Heading2"/>
      </w:pPr>
      <w:r>
        <w:t>13.2 Risks and unresolved questions</w:t>
      </w:r>
    </w:p>
    <w:tbl>
      <w:tblPr>
        <w:tblStyle w:val="LightShading-Accent1"/>
        <w:tblW w:type="auto" w:w="0"/>
        <w:tblLayout w:type="autofit"/>
        <w:tblLook w:firstColumn="1" w:firstRow="1" w:lastColumn="0" w:lastRow="0" w:noHBand="0" w:noVBand="1" w:val="04A0"/>
      </w:tblPr>
      <w:tblGrid>
        <w:gridCol w:w="3331"/>
        <w:gridCol w:w="3331"/>
        <w:gridCol w:w="3331"/>
      </w:tblGrid>
      <w:tr>
        <w:tc>
          <w:tcPr>
            <w:tcW w:type="dxa" w:w="3331"/>
            <w:shd w:fill="17365D"/>
          </w:tcPr>
          <w:p>
            <w:r>
              <w:rPr>
                <w:b/>
                <w:color w:val="FFFFFF"/>
              </w:rPr>
              <w:t>Question / risk</w:t>
            </w:r>
          </w:p>
        </w:tc>
        <w:tc>
          <w:tcPr>
            <w:tcW w:type="dxa" w:w="3331"/>
            <w:shd w:fill="17365D"/>
          </w:tcPr>
          <w:p>
            <w:r>
              <w:rPr>
                <w:b/>
                <w:color w:val="FFFFFF"/>
              </w:rPr>
              <w:t>Why it matters</w:t>
            </w:r>
          </w:p>
        </w:tc>
        <w:tc>
          <w:tcPr>
            <w:tcW w:type="dxa" w:w="3331"/>
            <w:shd w:fill="17365D"/>
          </w:tcPr>
          <w:p>
            <w:r>
              <w:rPr>
                <w:b/>
                <w:color w:val="FFFFFF"/>
              </w:rPr>
              <w:t>Resolution</w:t>
            </w:r>
          </w:p>
        </w:tc>
      </w:tr>
      <w:tr>
        <w:tc>
          <w:tcPr>
            <w:tcW w:type="dxa" w:w="3331"/>
          </w:tcPr>
          <w:p>
            <w:pPr>
              <w:spacing w:after="40"/>
            </w:pPr>
            <w:r>
              <w:rPr>
                <w:sz w:val="17"/>
              </w:rPr>
              <w:t>MCP repository license and implementation quality</w:t>
            </w:r>
          </w:p>
        </w:tc>
        <w:tc>
          <w:tcPr>
            <w:tcW w:type="dxa" w:w="3331"/>
          </w:tcPr>
          <w:p>
            <w:pPr>
              <w:spacing w:after="40"/>
            </w:pPr>
            <w:r>
              <w:rPr>
                <w:sz w:val="17"/>
              </w:rPr>
              <w:t>Determines whether code can be reused and how much must be rewritten.</w:t>
            </w:r>
          </w:p>
        </w:tc>
        <w:tc>
          <w:tcPr>
            <w:tcW w:type="dxa" w:w="3331"/>
          </w:tcPr>
          <w:p>
            <w:pPr>
              <w:spacing w:after="40"/>
            </w:pPr>
            <w:r>
              <w:rPr>
                <w:sz w:val="17"/>
              </w:rPr>
              <w:t>Inspect license, source, dependencies, auth, caching and write tools in days 1–3.</w:t>
            </w:r>
          </w:p>
        </w:tc>
      </w:tr>
      <w:tr>
        <w:tc>
          <w:tcPr>
            <w:tcW w:type="dxa" w:w="3331"/>
          </w:tcPr>
          <w:p>
            <w:pPr>
              <w:spacing w:after="40"/>
            </w:pPr>
            <w:r>
              <w:rPr>
                <w:sz w:val="17"/>
              </w:rPr>
              <w:t>Team capacity and skills</w:t>
            </w:r>
          </w:p>
        </w:tc>
        <w:tc>
          <w:tcPr>
            <w:tcW w:type="dxa" w:w="3331"/>
          </w:tcPr>
          <w:p>
            <w:pPr>
              <w:spacing w:after="40"/>
            </w:pPr>
            <w:r>
              <w:rPr>
                <w:sz w:val="17"/>
              </w:rPr>
              <w:t>Determines whether the 30-day timeline is realistic.</w:t>
            </w:r>
          </w:p>
        </w:tc>
        <w:tc>
          <w:tcPr>
            <w:tcW w:type="dxa" w:w="3331"/>
          </w:tcPr>
          <w:p>
            <w:pPr>
              <w:spacing w:after="40"/>
            </w:pPr>
            <w:r>
              <w:rPr>
                <w:sz w:val="17"/>
              </w:rPr>
              <w:t>Confirm developer count, TypeScript/React skills, Windows/Tally experience and available hours.</w:t>
            </w:r>
          </w:p>
        </w:tc>
      </w:tr>
      <w:tr>
        <w:tc>
          <w:tcPr>
            <w:tcW w:type="dxa" w:w="3331"/>
          </w:tcPr>
          <w:p>
            <w:pPr>
              <w:spacing w:after="40"/>
            </w:pPr>
            <w:r>
              <w:rPr>
                <w:sz w:val="17"/>
              </w:rPr>
              <w:t>Tally customer environments</w:t>
            </w:r>
          </w:p>
        </w:tc>
        <w:tc>
          <w:tcPr>
            <w:tcW w:type="dxa" w:w="3331"/>
          </w:tcPr>
          <w:p>
            <w:pPr>
              <w:spacing w:after="40"/>
            </w:pPr>
            <w:r>
              <w:rPr>
                <w:sz w:val="17"/>
              </w:rPr>
              <w:t>Different configurations may change data availability and connector behaviour.</w:t>
            </w:r>
          </w:p>
        </w:tc>
        <w:tc>
          <w:tcPr>
            <w:tcW w:type="dxa" w:w="3331"/>
          </w:tcPr>
          <w:p>
            <w:pPr>
              <w:spacing w:after="40"/>
            </w:pPr>
            <w:r>
              <w:rPr>
                <w:sz w:val="17"/>
              </w:rPr>
              <w:t>Test against representative TallyPrime installations and company data.</w:t>
            </w:r>
          </w:p>
        </w:tc>
      </w:tr>
      <w:tr>
        <w:tc>
          <w:tcPr>
            <w:tcW w:type="dxa" w:w="3331"/>
          </w:tcPr>
          <w:p>
            <w:pPr>
              <w:spacing w:after="40"/>
            </w:pPr>
            <w:r>
              <w:rPr>
                <w:sz w:val="17"/>
              </w:rPr>
              <w:t>Financial definitions</w:t>
            </w:r>
          </w:p>
        </w:tc>
        <w:tc>
          <w:tcPr>
            <w:tcW w:type="dxa" w:w="3331"/>
          </w:tcPr>
          <w:p>
            <w:pPr>
              <w:spacing w:after="40"/>
            </w:pPr>
            <w:r>
              <w:rPr>
                <w:sz w:val="17"/>
              </w:rPr>
              <w:t>P&amp;L, outstanding, dates, signs and opening/closing balances need agreed semantics.</w:t>
            </w:r>
          </w:p>
        </w:tc>
        <w:tc>
          <w:tcPr>
            <w:tcW w:type="dxa" w:w="3331"/>
          </w:tcPr>
          <w:p>
            <w:pPr>
              <w:spacing w:after="40"/>
            </w:pPr>
            <w:r>
              <w:rPr>
                <w:sz w:val="17"/>
              </w:rPr>
              <w:t>Define report specifications and compare with Tally reference outputs.</w:t>
            </w:r>
          </w:p>
        </w:tc>
      </w:tr>
      <w:tr>
        <w:tc>
          <w:tcPr>
            <w:tcW w:type="dxa" w:w="3331"/>
          </w:tcPr>
          <w:p>
            <w:pPr>
              <w:spacing w:after="40"/>
            </w:pPr>
            <w:r>
              <w:rPr>
                <w:sz w:val="17"/>
              </w:rPr>
              <w:t>Pilot customer count</w:t>
            </w:r>
          </w:p>
        </w:tc>
        <w:tc>
          <w:tcPr>
            <w:tcW w:type="dxa" w:w="3331"/>
          </w:tcPr>
          <w:p>
            <w:pPr>
              <w:spacing w:after="40"/>
            </w:pPr>
            <w:r>
              <w:rPr>
                <w:sz w:val="17"/>
              </w:rPr>
              <w:t>Changes support, tenant testing and onboarding load.</w:t>
            </w:r>
          </w:p>
        </w:tc>
        <w:tc>
          <w:tcPr>
            <w:tcW w:type="dxa" w:w="3331"/>
          </w:tcPr>
          <w:p>
            <w:pPr>
              <w:spacing w:after="40"/>
            </w:pPr>
            <w:r>
              <w:rPr>
                <w:sz w:val="17"/>
              </w:rPr>
              <w:t>Choose a small initial cohort and agree the success criteria.</w:t>
            </w:r>
          </w:p>
        </w:tc>
      </w:tr>
      <w:tr>
        <w:tc>
          <w:tcPr>
            <w:tcW w:type="dxa" w:w="3331"/>
          </w:tcPr>
          <w:p>
            <w:pPr>
              <w:spacing w:after="40"/>
            </w:pPr>
            <w:r>
              <w:rPr>
                <w:sz w:val="17"/>
              </w:rPr>
              <w:t>Data retention and privacy</w:t>
            </w:r>
          </w:p>
        </w:tc>
        <w:tc>
          <w:tcPr>
            <w:tcW w:type="dxa" w:w="3331"/>
          </w:tcPr>
          <w:p>
            <w:pPr>
              <w:spacing w:after="40"/>
            </w:pPr>
            <w:r>
              <w:rPr>
                <w:sz w:val="17"/>
              </w:rPr>
              <w:t>Financial records are sensitive customer data.</w:t>
            </w:r>
          </w:p>
        </w:tc>
        <w:tc>
          <w:tcPr>
            <w:tcW w:type="dxa" w:w="3331"/>
          </w:tcPr>
          <w:p>
            <w:pPr>
              <w:spacing w:after="40"/>
            </w:pPr>
            <w:r>
              <w:rPr>
                <w:sz w:val="17"/>
              </w:rPr>
              <w:t>Set retention, deletion, support-access and incident-response policies before live onboarding.</w:t>
            </w:r>
          </w:p>
        </w:tc>
      </w:tr>
    </w:tbl>
    <w:p>
      <w:pPr>
        <w:spacing w:after="20"/>
      </w:pPr>
    </w:p>
    <w:p>
      <w:pPr>
        <w:pStyle w:val="Heading2"/>
      </w:pPr>
      <w:r>
        <w:t>13.3 Information needed from the team</w:t>
      </w:r>
    </w:p>
    <w:p>
      <w:pPr>
        <w:pStyle w:val="ListBullet"/>
        <w:spacing w:after="40"/>
      </w:pPr>
      <w:r>
        <w:t>E-Munshi GitHub repository, if available, or the framework/backend/database/deployment details.</w:t>
      </w:r>
    </w:p>
    <w:p>
      <w:pPr>
        <w:pStyle w:val="ListBullet"/>
        <w:spacing w:after="40"/>
      </w:pPr>
      <w:r>
        <w:t>Number of developers, their primary skills, and hours available over the next 30 days.</w:t>
      </w:r>
    </w:p>
    <w:p>
      <w:pPr>
        <w:pStyle w:val="ListBullet"/>
        <w:spacing w:after="40"/>
      </w:pPr>
      <w:r>
        <w:t>Whether pilot customers use TallyPrime locally on Windows and whether the team can access a test installation.</w:t>
      </w:r>
    </w:p>
    <w:p>
      <w:pPr>
        <w:pStyle w:val="ListBullet"/>
        <w:spacing w:after="40"/>
      </w:pPr>
      <w:r>
        <w:t>Target number of pilot businesses and the specific reports/questions they need first.</w:t>
      </w:r>
    </w:p>
    <w:p>
      <w:pPr>
        <w:pStyle w:val="ListBullet"/>
        <w:spacing w:after="40"/>
      </w:pPr>
      <w:r>
        <w:t>Whether the ₹50,000–₹1,00,000 budget includes developer compensation or only incremental project expenses.</w:t>
      </w:r>
    </w:p>
    <w:p>
      <w:pPr>
        <w:pStyle w:val="Heading1"/>
      </w:pPr>
      <w:r>
        <w:t>14. Final Recommendation</w:t>
      </w:r>
    </w:p>
    <w:tbl>
      <w:tblPr>
        <w:tblStyle w:val="TableGrid"/>
        <w:tblW w:type="auto" w:w="0"/>
        <w:tblLook w:firstColumn="1" w:firstRow="1" w:lastColumn="0" w:lastRow="0" w:noHBand="0" w:noVBand="1" w:val="04A0"/>
      </w:tblPr>
      <w:tblGrid>
        <w:gridCol w:w="9994"/>
      </w:tblGrid>
      <w:tr>
        <w:tc>
          <w:tcPr>
            <w:tcW w:type="dxa" w:w="9994"/>
            <w:shd w:fill="EAF2F8"/>
          </w:tcPr>
          <w:p>
            <w:r/>
            <w:r>
              <w:rPr>
                <w:b/>
                <w:color w:val="17365D"/>
              </w:rPr>
              <w:t>RECOMMENDED PLAN</w:t>
              <w:br/>
            </w:r>
            <w:r>
              <w:t>Build E-Munshi as a TypeScript modular monolith with PostgreSQL, a read-only Windows Tally connector, deterministic financial calculations, and controlled AI tool orchestration. Reuse the MCP repository's integration logic only after license and code review. Keep the initial pilot narrow, measurable and auditable.</w:t>
            </w:r>
          </w:p>
        </w:tc>
      </w:tr>
    </w:tbl>
    <w:p/>
    <w:p>
      <w:r>
        <w:t>The first-month goal is a working pilot with real Tally data and a small set of reliable financial workflows—not a promise to reproduce every Riko feature in 30 days.</w:t>
      </w:r>
    </w:p>
    <w:p>
      <w:r>
        <w:t>Resolve three uncertainties before committing to the full scope: (1) repository license/source and intended reuse; (2) engineering capacity; and (3) accuracy and availability of required reports on the pilot customers' TallyPrime configurations.</w:t>
      </w:r>
    </w:p>
    <w:p>
      <w:r>
        <w:t>Once those are proven, the rest of the plan becomes much more predictable.</w:t>
      </w:r>
    </w:p>
    <w:p>
      <w:pPr>
        <w:pStyle w:val="Heading1"/>
      </w:pPr>
      <w:r>
        <w:t>Reference Links</w:t>
      </w:r>
    </w:p>
    <w:p>
      <w:pPr>
        <w:pStyle w:val="ListBullet"/>
        <w:spacing w:after="40"/>
      </w:pPr>
      <w:r>
        <w:t>Riko AI: https://rikoai.in/</w:t>
      </w:r>
    </w:p>
    <w:p>
      <w:pPr>
        <w:pStyle w:val="ListBullet"/>
        <w:spacing w:after="40"/>
      </w:pPr>
      <w:r>
        <w:t>Riko AI features: https://rikoai.in/features</w:t>
      </w:r>
    </w:p>
    <w:p>
      <w:pPr>
        <w:pStyle w:val="ListBullet"/>
        <w:spacing w:after="40"/>
      </w:pPr>
      <w:r>
        <w:t>Riko AI FAQ: https://rikoai.in/faq</w:t>
      </w:r>
    </w:p>
    <w:p>
      <w:pPr>
        <w:pStyle w:val="ListBullet"/>
        <w:spacing w:after="40"/>
      </w:pPr>
      <w:r>
        <w:t>E-Munshi prototype: http://emunshie.com/</w:t>
      </w:r>
    </w:p>
    <w:p>
      <w:pPr>
        <w:pStyle w:val="ListBullet"/>
        <w:spacing w:after="40"/>
      </w:pPr>
      <w:r>
        <w:t>Tally MCP server repository: https://github.com/dhananjay1405/tally-mcp-server.git</w:t>
      </w:r>
    </w:p>
    <w:p>
      <w:pPr>
        <w:pStyle w:val="ListBullet"/>
        <w:spacing w:after="40"/>
      </w:pPr>
      <w:r>
        <w:t>Supabase pricing: https://supabase.com/pricing</w:t>
      </w:r>
    </w:p>
    <w:p>
      <w:pPr>
        <w:pStyle w:val="ListBullet"/>
        <w:spacing w:after="40"/>
      </w:pPr>
      <w:r>
        <w:t>Vercel pricing: https://vercel.com/pricing</w:t>
      </w:r>
    </w:p>
    <w:p>
      <w:r>
        <w:t>Pricing, product pages, and repository contents can change. Re-verify vendor prices, feature details, licensing, and source code before implementation or purchase.</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working document  •  23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E-MUNSHI  |  PRODUCT &amp; ENGINEERING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452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E75B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