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312CE" w14:textId="77777777" w:rsidR="00C7069C" w:rsidRDefault="00000000">
      <w:pPr>
        <w:jc w:val="center"/>
      </w:pPr>
      <w:r>
        <w:rPr>
          <w:b/>
          <w:color w:val="1F4D78"/>
          <w:sz w:val="44"/>
        </w:rPr>
        <w:t>DA-1: Prompt-Injection Detection for</w:t>
      </w:r>
      <w:r>
        <w:rPr>
          <w:b/>
          <w:color w:val="1F4D78"/>
          <w:sz w:val="44"/>
        </w:rPr>
        <w:br/>
        <w:t>LLM-Integrated Web Applications</w:t>
      </w:r>
    </w:p>
    <w:p w14:paraId="4CE51F15" w14:textId="77777777" w:rsidR="00C7069C" w:rsidRDefault="00000000">
      <w:pPr>
        <w:spacing w:after="320"/>
        <w:jc w:val="center"/>
      </w:pPr>
      <w:r>
        <w:rPr>
          <w:i/>
        </w:rPr>
        <w:t>Problem Identification, Literature Survey, Problem Statement, and Proposed Architecture</w:t>
      </w:r>
    </w:p>
    <w:tbl>
      <w:tblPr>
        <w:tblW w:w="0" w:type="auto"/>
        <w:jc w:val="cente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Layout w:type="fixed"/>
        <w:tblLook w:val="04A0" w:firstRow="1" w:lastRow="0" w:firstColumn="1" w:lastColumn="0" w:noHBand="0" w:noVBand="1"/>
      </w:tblPr>
      <w:tblGrid>
        <w:gridCol w:w="2160"/>
        <w:gridCol w:w="7200"/>
      </w:tblGrid>
      <w:tr w:rsidR="00C7069C" w14:paraId="64BCE0AA" w14:textId="77777777">
        <w:trPr>
          <w:jc w:val="center"/>
        </w:trPr>
        <w:tc>
          <w:tcPr>
            <w:tcW w:w="2160" w:type="dxa"/>
            <w:shd w:val="clear" w:color="auto" w:fill="E8EEF5"/>
            <w:vAlign w:val="center"/>
          </w:tcPr>
          <w:p w14:paraId="0CE655F4" w14:textId="77777777" w:rsidR="00C7069C" w:rsidRDefault="00000000">
            <w:pPr>
              <w:spacing w:after="0"/>
            </w:pPr>
            <w:r>
              <w:rPr>
                <w:b/>
                <w:sz w:val="18"/>
              </w:rPr>
              <w:t>Course</w:t>
            </w:r>
          </w:p>
        </w:tc>
        <w:tc>
          <w:tcPr>
            <w:tcW w:w="7200" w:type="dxa"/>
            <w:vAlign w:val="center"/>
          </w:tcPr>
          <w:p w14:paraId="7B7C25A3" w14:textId="77777777" w:rsidR="00C7069C" w:rsidRDefault="00000000">
            <w:pPr>
              <w:spacing w:after="0"/>
            </w:pPr>
            <w:r>
              <w:rPr>
                <w:sz w:val="18"/>
              </w:rPr>
              <w:t>BCSE306L — B.Tech (Artificial Intelligence)</w:t>
            </w:r>
          </w:p>
        </w:tc>
      </w:tr>
      <w:tr w:rsidR="00C7069C" w14:paraId="0309FBAB" w14:textId="77777777">
        <w:trPr>
          <w:jc w:val="center"/>
        </w:trPr>
        <w:tc>
          <w:tcPr>
            <w:tcW w:w="2160" w:type="dxa"/>
            <w:shd w:val="clear" w:color="auto" w:fill="E8EEF5"/>
            <w:vAlign w:val="center"/>
          </w:tcPr>
          <w:p w14:paraId="3D03BCBD" w14:textId="77777777" w:rsidR="00C7069C" w:rsidRDefault="00000000">
            <w:pPr>
              <w:spacing w:after="0"/>
            </w:pPr>
            <w:r>
              <w:rPr>
                <w:b/>
                <w:sz w:val="18"/>
              </w:rPr>
              <w:t>Team members</w:t>
            </w:r>
          </w:p>
        </w:tc>
        <w:tc>
          <w:tcPr>
            <w:tcW w:w="7200" w:type="dxa"/>
            <w:vAlign w:val="center"/>
          </w:tcPr>
          <w:p w14:paraId="536C767A" w14:textId="29C4F9BA" w:rsidR="00C7069C" w:rsidRDefault="002B170A">
            <w:pPr>
              <w:spacing w:after="0"/>
            </w:pPr>
            <w:r>
              <w:rPr>
                <w:sz w:val="18"/>
              </w:rPr>
              <w:t xml:space="preserve">Saumya </w:t>
            </w:r>
            <w:proofErr w:type="gramStart"/>
            <w:r>
              <w:rPr>
                <w:sz w:val="18"/>
              </w:rPr>
              <w:t>( 24</w:t>
            </w:r>
            <w:proofErr w:type="gramEnd"/>
            <w:r>
              <w:rPr>
                <w:sz w:val="18"/>
              </w:rPr>
              <w:t>BRS</w:t>
            </w:r>
            <w:proofErr w:type="gramStart"/>
            <w:r>
              <w:rPr>
                <w:sz w:val="18"/>
              </w:rPr>
              <w:t>1065  )</w:t>
            </w:r>
            <w:proofErr w:type="gramEnd"/>
            <w:r>
              <w:rPr>
                <w:sz w:val="18"/>
              </w:rPr>
              <w:t xml:space="preserve"> | Rishabh Tripathi </w:t>
            </w:r>
            <w:proofErr w:type="gramStart"/>
            <w:r>
              <w:rPr>
                <w:sz w:val="18"/>
              </w:rPr>
              <w:t>( 24</w:t>
            </w:r>
            <w:proofErr w:type="gramEnd"/>
            <w:r>
              <w:rPr>
                <w:sz w:val="18"/>
              </w:rPr>
              <w:t>BRS</w:t>
            </w:r>
            <w:proofErr w:type="gramStart"/>
            <w:r>
              <w:rPr>
                <w:sz w:val="18"/>
              </w:rPr>
              <w:t>1136 )</w:t>
            </w:r>
            <w:proofErr w:type="gramEnd"/>
            <w:r>
              <w:rPr>
                <w:sz w:val="18"/>
              </w:rPr>
              <w:t xml:space="preserve"> </w:t>
            </w:r>
          </w:p>
        </w:tc>
      </w:tr>
    </w:tbl>
    <w:p w14:paraId="08EEED55" w14:textId="77777777" w:rsidR="00C7069C" w:rsidRDefault="00000000">
      <w:pPr>
        <w:pStyle w:val="Heading1"/>
      </w:pPr>
      <w:r>
        <w:t>1. Problem identification</w:t>
      </w:r>
    </w:p>
    <w:p w14:paraId="51138528" w14:textId="06634CBC" w:rsidR="00C7069C" w:rsidRDefault="00000000">
      <w:r>
        <w:t xml:space="preserve">LLM-integrated web applications and browser agents consume untrusted webpages, emails, retrieved documents, and tool outputs while taking actions for users. Prompt injection occurs when instructions embedded in this content divert the model from the user’s task. This can affect messages, records, account actions, and transactions. NIST characterises the related risk as agent hijacking and evaluates it in realistic workspace, travel, Slack, and banking </w:t>
      </w:r>
      <w:proofErr w:type="gramStart"/>
      <w:r>
        <w:t>environments .</w:t>
      </w:r>
      <w:proofErr w:type="gramEnd"/>
    </w:p>
    <w:p w14:paraId="74E840F8" w14:textId="77777777" w:rsidR="00C7069C" w:rsidRDefault="00000000">
      <w:r>
        <w:t>The stakeholder is the developer or security team operating an LLM-integrated web application. The supported decision is whether web-derived content and a downstream high-impact action should proceed, be isolated, or require user confirmation. The scope is detection for web-agent inputs before high-impact actions, not a claim to solve prompt injection universally.</w:t>
      </w:r>
    </w:p>
    <w:p w14:paraId="0D116A73" w14:textId="77777777" w:rsidR="00C7069C" w:rsidRDefault="00000000">
      <w:pPr>
        <w:pStyle w:val="Heading1"/>
      </w:pPr>
      <w:r>
        <w:t>2. Literature survey</w:t>
      </w:r>
    </w:p>
    <w:p w14:paraId="702D7718" w14:textId="207B3FC2" w:rsidR="00C7069C" w:rsidRDefault="00000000">
      <w:r>
        <w:t>The following table compares 15 peer-reviewed papers. It contains direct evidence fields rather than paragraph-wise paper summaries. Reported results are retained only within each paper’s stated model, benchmark, and threat-model scope.</w:t>
      </w:r>
    </w:p>
    <w:tbl>
      <w:tblPr>
        <w:tblStyle w:val="TableGrid"/>
        <w:tblW w:w="0" w:type="auto"/>
        <w:jc w:val="cente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Layout w:type="fixed"/>
        <w:tblLook w:val="04A0" w:firstRow="1" w:lastRow="0" w:firstColumn="1" w:lastColumn="0" w:noHBand="0" w:noVBand="1"/>
      </w:tblPr>
      <w:tblGrid>
        <w:gridCol w:w="518"/>
        <w:gridCol w:w="604"/>
        <w:gridCol w:w="1555"/>
        <w:gridCol w:w="1814"/>
        <w:gridCol w:w="2304"/>
        <w:gridCol w:w="2563"/>
      </w:tblGrid>
      <w:tr w:rsidR="00C7069C" w14:paraId="6A2AA0A1" w14:textId="77777777">
        <w:trPr>
          <w:tblHeader/>
          <w:jc w:val="center"/>
        </w:trPr>
        <w:tc>
          <w:tcPr>
            <w:tcW w:w="518" w:type="dxa"/>
            <w:shd w:val="clear" w:color="auto" w:fill="DCE6F1"/>
            <w:vAlign w:val="center"/>
          </w:tcPr>
          <w:p w14:paraId="1B3ED233" w14:textId="77777777" w:rsidR="00C7069C" w:rsidRDefault="00000000">
            <w:pPr>
              <w:spacing w:after="0"/>
            </w:pPr>
            <w:r>
              <w:rPr>
                <w:b/>
                <w:sz w:val="15"/>
              </w:rPr>
              <w:t>Ref.</w:t>
            </w:r>
          </w:p>
        </w:tc>
        <w:tc>
          <w:tcPr>
            <w:tcW w:w="604" w:type="dxa"/>
            <w:shd w:val="clear" w:color="auto" w:fill="DCE6F1"/>
            <w:vAlign w:val="center"/>
          </w:tcPr>
          <w:p w14:paraId="5412B961" w14:textId="77777777" w:rsidR="00C7069C" w:rsidRDefault="00000000">
            <w:pPr>
              <w:spacing w:after="0"/>
            </w:pPr>
            <w:r>
              <w:rPr>
                <w:b/>
                <w:sz w:val="15"/>
              </w:rPr>
              <w:t>Year</w:t>
            </w:r>
          </w:p>
        </w:tc>
        <w:tc>
          <w:tcPr>
            <w:tcW w:w="1555" w:type="dxa"/>
            <w:shd w:val="clear" w:color="auto" w:fill="DCE6F1"/>
            <w:vAlign w:val="center"/>
          </w:tcPr>
          <w:p w14:paraId="6D5EA9AF" w14:textId="77777777" w:rsidR="00C7069C" w:rsidRDefault="00000000">
            <w:pPr>
              <w:spacing w:after="0"/>
            </w:pPr>
            <w:r>
              <w:rPr>
                <w:b/>
                <w:sz w:val="15"/>
              </w:rPr>
              <w:t>Dataset / setting</w:t>
            </w:r>
          </w:p>
        </w:tc>
        <w:tc>
          <w:tcPr>
            <w:tcW w:w="1814" w:type="dxa"/>
            <w:shd w:val="clear" w:color="auto" w:fill="DCE6F1"/>
            <w:vAlign w:val="center"/>
          </w:tcPr>
          <w:p w14:paraId="63A08A8B" w14:textId="77777777" w:rsidR="00C7069C" w:rsidRDefault="00000000">
            <w:pPr>
              <w:spacing w:after="0"/>
            </w:pPr>
            <w:r>
              <w:rPr>
                <w:b/>
                <w:sz w:val="15"/>
              </w:rPr>
              <w:t>Method / architecture</w:t>
            </w:r>
          </w:p>
        </w:tc>
        <w:tc>
          <w:tcPr>
            <w:tcW w:w="2304" w:type="dxa"/>
            <w:shd w:val="clear" w:color="auto" w:fill="DCE6F1"/>
            <w:vAlign w:val="center"/>
          </w:tcPr>
          <w:p w14:paraId="20EFECF6" w14:textId="77777777" w:rsidR="00C7069C" w:rsidRDefault="00000000">
            <w:pPr>
              <w:spacing w:after="0"/>
            </w:pPr>
            <w:r>
              <w:rPr>
                <w:b/>
                <w:sz w:val="15"/>
              </w:rPr>
              <w:t>Key metric / value</w:t>
            </w:r>
          </w:p>
        </w:tc>
        <w:tc>
          <w:tcPr>
            <w:tcW w:w="2563" w:type="dxa"/>
            <w:shd w:val="clear" w:color="auto" w:fill="DCE6F1"/>
            <w:vAlign w:val="center"/>
          </w:tcPr>
          <w:p w14:paraId="2F625383" w14:textId="77777777" w:rsidR="00C7069C" w:rsidRDefault="00000000">
            <w:pPr>
              <w:spacing w:after="0"/>
            </w:pPr>
            <w:r>
              <w:rPr>
                <w:b/>
                <w:sz w:val="15"/>
              </w:rPr>
              <w:t>Stated limitation</w:t>
            </w:r>
          </w:p>
        </w:tc>
      </w:tr>
      <w:tr w:rsidR="00C7069C" w14:paraId="6A99CD18" w14:textId="77777777">
        <w:trPr>
          <w:jc w:val="center"/>
        </w:trPr>
        <w:tc>
          <w:tcPr>
            <w:tcW w:w="518" w:type="dxa"/>
            <w:vAlign w:val="center"/>
          </w:tcPr>
          <w:p w14:paraId="00612ABE" w14:textId="77777777" w:rsidR="00C7069C" w:rsidRDefault="00000000">
            <w:pPr>
              <w:spacing w:after="0"/>
            </w:pPr>
            <w:r>
              <w:rPr>
                <w:sz w:val="14"/>
              </w:rPr>
              <w:t>[1]</w:t>
            </w:r>
          </w:p>
        </w:tc>
        <w:tc>
          <w:tcPr>
            <w:tcW w:w="604" w:type="dxa"/>
            <w:vAlign w:val="center"/>
          </w:tcPr>
          <w:p w14:paraId="2AB15DDE" w14:textId="77777777" w:rsidR="00C7069C" w:rsidRDefault="00000000">
            <w:pPr>
              <w:spacing w:after="0"/>
            </w:pPr>
            <w:r>
              <w:rPr>
                <w:sz w:val="14"/>
              </w:rPr>
              <w:t>2024</w:t>
            </w:r>
          </w:p>
        </w:tc>
        <w:tc>
          <w:tcPr>
            <w:tcW w:w="1555" w:type="dxa"/>
            <w:vAlign w:val="center"/>
          </w:tcPr>
          <w:p w14:paraId="716AD2E2" w14:textId="77777777" w:rsidR="00C7069C" w:rsidRDefault="00000000">
            <w:pPr>
              <w:spacing w:after="0"/>
            </w:pPr>
            <w:r>
              <w:rPr>
                <w:sz w:val="14"/>
              </w:rPr>
              <w:t>7 tasks; 10 LLMs</w:t>
            </w:r>
          </w:p>
        </w:tc>
        <w:tc>
          <w:tcPr>
            <w:tcW w:w="1814" w:type="dxa"/>
            <w:vAlign w:val="center"/>
          </w:tcPr>
          <w:p w14:paraId="2A290A09" w14:textId="77777777" w:rsidR="00C7069C" w:rsidRDefault="00000000">
            <w:pPr>
              <w:spacing w:after="0"/>
            </w:pPr>
            <w:r>
              <w:rPr>
                <w:sz w:val="14"/>
              </w:rPr>
              <w:t>Formal attack/defense framework</w:t>
            </w:r>
          </w:p>
        </w:tc>
        <w:tc>
          <w:tcPr>
            <w:tcW w:w="2304" w:type="dxa"/>
            <w:vAlign w:val="center"/>
          </w:tcPr>
          <w:p w14:paraId="0372BE56" w14:textId="77777777" w:rsidR="00C7069C" w:rsidRDefault="00000000">
            <w:pPr>
              <w:spacing w:after="0"/>
            </w:pPr>
            <w:r>
              <w:rPr>
                <w:sz w:val="14"/>
              </w:rPr>
              <w:t>5 attacks and 10 defenses compared</w:t>
            </w:r>
          </w:p>
        </w:tc>
        <w:tc>
          <w:tcPr>
            <w:tcW w:w="2563" w:type="dxa"/>
            <w:vAlign w:val="center"/>
          </w:tcPr>
          <w:p w14:paraId="63FC8C28" w14:textId="77777777" w:rsidR="00C7069C" w:rsidRDefault="00000000">
            <w:pPr>
              <w:spacing w:after="0"/>
            </w:pPr>
            <w:r>
              <w:rPr>
                <w:sz w:val="14"/>
              </w:rPr>
              <w:t>Does not model every web-agent representation</w:t>
            </w:r>
          </w:p>
        </w:tc>
      </w:tr>
      <w:tr w:rsidR="00C7069C" w14:paraId="2FEA32E6" w14:textId="77777777">
        <w:trPr>
          <w:jc w:val="center"/>
        </w:trPr>
        <w:tc>
          <w:tcPr>
            <w:tcW w:w="518" w:type="dxa"/>
            <w:vAlign w:val="center"/>
          </w:tcPr>
          <w:p w14:paraId="295E0782" w14:textId="77777777" w:rsidR="00C7069C" w:rsidRDefault="00000000">
            <w:pPr>
              <w:spacing w:after="0"/>
            </w:pPr>
            <w:r>
              <w:rPr>
                <w:sz w:val="14"/>
              </w:rPr>
              <w:t>[2]</w:t>
            </w:r>
          </w:p>
        </w:tc>
        <w:tc>
          <w:tcPr>
            <w:tcW w:w="604" w:type="dxa"/>
            <w:vAlign w:val="center"/>
          </w:tcPr>
          <w:p w14:paraId="1752CE63" w14:textId="77777777" w:rsidR="00C7069C" w:rsidRDefault="00000000">
            <w:pPr>
              <w:spacing w:after="0"/>
            </w:pPr>
            <w:r>
              <w:rPr>
                <w:sz w:val="14"/>
              </w:rPr>
              <w:t>2024</w:t>
            </w:r>
          </w:p>
        </w:tc>
        <w:tc>
          <w:tcPr>
            <w:tcW w:w="1555" w:type="dxa"/>
            <w:vAlign w:val="center"/>
          </w:tcPr>
          <w:p w14:paraId="5EC45C5E" w14:textId="77777777" w:rsidR="00C7069C" w:rsidRDefault="00000000">
            <w:pPr>
              <w:spacing w:after="0"/>
            </w:pPr>
            <w:r>
              <w:rPr>
                <w:sz w:val="14"/>
              </w:rPr>
              <w:t>1,054 cases; 17 user / 62 attacker tools</w:t>
            </w:r>
          </w:p>
        </w:tc>
        <w:tc>
          <w:tcPr>
            <w:tcW w:w="1814" w:type="dxa"/>
            <w:vAlign w:val="center"/>
          </w:tcPr>
          <w:p w14:paraId="2E186907" w14:textId="77777777" w:rsidR="00C7069C" w:rsidRDefault="00000000">
            <w:pPr>
              <w:spacing w:after="0"/>
            </w:pPr>
            <w:r>
              <w:rPr>
                <w:sz w:val="14"/>
              </w:rPr>
              <w:t>InjecAgent benchmark</w:t>
            </w:r>
          </w:p>
        </w:tc>
        <w:tc>
          <w:tcPr>
            <w:tcW w:w="2304" w:type="dxa"/>
            <w:vAlign w:val="center"/>
          </w:tcPr>
          <w:p w14:paraId="7981F413" w14:textId="77777777" w:rsidR="00C7069C" w:rsidRDefault="00000000">
            <w:pPr>
              <w:spacing w:after="0"/>
            </w:pPr>
            <w:r>
              <w:rPr>
                <w:sz w:val="14"/>
              </w:rPr>
              <w:t>ReAct GPT-4 attack success: 24%</w:t>
            </w:r>
          </w:p>
        </w:tc>
        <w:tc>
          <w:tcPr>
            <w:tcW w:w="2563" w:type="dxa"/>
            <w:vAlign w:val="center"/>
          </w:tcPr>
          <w:p w14:paraId="097D887F" w14:textId="77777777" w:rsidR="00C7069C" w:rsidRDefault="00000000">
            <w:pPr>
              <w:spacing w:after="0"/>
            </w:pPr>
            <w:r>
              <w:rPr>
                <w:sz w:val="14"/>
              </w:rPr>
              <w:t>Tool-agent benchmark, not an end-to-end browser representation study</w:t>
            </w:r>
          </w:p>
        </w:tc>
      </w:tr>
      <w:tr w:rsidR="00C7069C" w14:paraId="4D2058AC" w14:textId="77777777">
        <w:trPr>
          <w:jc w:val="center"/>
        </w:trPr>
        <w:tc>
          <w:tcPr>
            <w:tcW w:w="518" w:type="dxa"/>
            <w:vAlign w:val="center"/>
          </w:tcPr>
          <w:p w14:paraId="46AF7553" w14:textId="77777777" w:rsidR="00C7069C" w:rsidRDefault="00000000">
            <w:pPr>
              <w:spacing w:after="0"/>
            </w:pPr>
            <w:r>
              <w:rPr>
                <w:sz w:val="14"/>
              </w:rPr>
              <w:t>[3]</w:t>
            </w:r>
          </w:p>
        </w:tc>
        <w:tc>
          <w:tcPr>
            <w:tcW w:w="604" w:type="dxa"/>
            <w:vAlign w:val="center"/>
          </w:tcPr>
          <w:p w14:paraId="5434CDD6" w14:textId="77777777" w:rsidR="00C7069C" w:rsidRDefault="00000000">
            <w:pPr>
              <w:spacing w:after="0"/>
            </w:pPr>
            <w:r>
              <w:rPr>
                <w:sz w:val="14"/>
              </w:rPr>
              <w:t>2024</w:t>
            </w:r>
          </w:p>
        </w:tc>
        <w:tc>
          <w:tcPr>
            <w:tcW w:w="1555" w:type="dxa"/>
            <w:vAlign w:val="center"/>
          </w:tcPr>
          <w:p w14:paraId="08C97F09" w14:textId="77777777" w:rsidR="00C7069C" w:rsidRDefault="00000000">
            <w:pPr>
              <w:spacing w:after="0"/>
            </w:pPr>
            <w:r>
              <w:rPr>
                <w:sz w:val="14"/>
              </w:rPr>
              <w:t>97 tasks; 629 security cases</w:t>
            </w:r>
          </w:p>
        </w:tc>
        <w:tc>
          <w:tcPr>
            <w:tcW w:w="1814" w:type="dxa"/>
            <w:vAlign w:val="center"/>
          </w:tcPr>
          <w:p w14:paraId="351B2C26" w14:textId="77777777" w:rsidR="00C7069C" w:rsidRDefault="00000000">
            <w:pPr>
              <w:spacing w:after="0"/>
            </w:pPr>
            <w:r>
              <w:rPr>
                <w:sz w:val="14"/>
              </w:rPr>
              <w:t>AgentDojo dynamic benchmark</w:t>
            </w:r>
          </w:p>
        </w:tc>
        <w:tc>
          <w:tcPr>
            <w:tcW w:w="2304" w:type="dxa"/>
            <w:vAlign w:val="center"/>
          </w:tcPr>
          <w:p w14:paraId="6E798A44" w14:textId="77777777" w:rsidR="00C7069C" w:rsidRDefault="00000000">
            <w:pPr>
              <w:spacing w:after="0"/>
            </w:pPr>
            <w:r>
              <w:rPr>
                <w:sz w:val="14"/>
              </w:rPr>
              <w:t>Extensible tasks, attacks, defenses</w:t>
            </w:r>
          </w:p>
        </w:tc>
        <w:tc>
          <w:tcPr>
            <w:tcW w:w="2563" w:type="dxa"/>
            <w:vAlign w:val="center"/>
          </w:tcPr>
          <w:p w14:paraId="47BA3216" w14:textId="77777777" w:rsidR="00C7069C" w:rsidRDefault="00000000">
            <w:pPr>
              <w:spacing w:after="0"/>
            </w:pPr>
            <w:r>
              <w:rPr>
                <w:sz w:val="14"/>
              </w:rPr>
              <w:t>Results depend on environment and agent capability</w:t>
            </w:r>
          </w:p>
        </w:tc>
      </w:tr>
      <w:tr w:rsidR="00C7069C" w14:paraId="4D94182D" w14:textId="77777777">
        <w:trPr>
          <w:jc w:val="center"/>
        </w:trPr>
        <w:tc>
          <w:tcPr>
            <w:tcW w:w="518" w:type="dxa"/>
            <w:vAlign w:val="center"/>
          </w:tcPr>
          <w:p w14:paraId="6CF6A0CA" w14:textId="77777777" w:rsidR="00C7069C" w:rsidRDefault="00000000">
            <w:pPr>
              <w:spacing w:after="0"/>
            </w:pPr>
            <w:r>
              <w:rPr>
                <w:sz w:val="14"/>
              </w:rPr>
              <w:t>[4]</w:t>
            </w:r>
          </w:p>
        </w:tc>
        <w:tc>
          <w:tcPr>
            <w:tcW w:w="604" w:type="dxa"/>
            <w:vAlign w:val="center"/>
          </w:tcPr>
          <w:p w14:paraId="4C834B36" w14:textId="77777777" w:rsidR="00C7069C" w:rsidRDefault="00000000">
            <w:pPr>
              <w:spacing w:after="0"/>
            </w:pPr>
            <w:r>
              <w:rPr>
                <w:sz w:val="14"/>
              </w:rPr>
              <w:t>2024</w:t>
            </w:r>
          </w:p>
        </w:tc>
        <w:tc>
          <w:tcPr>
            <w:tcW w:w="1555" w:type="dxa"/>
            <w:vAlign w:val="center"/>
          </w:tcPr>
          <w:p w14:paraId="63E92AC3" w14:textId="77777777" w:rsidR="00C7069C" w:rsidRDefault="00000000">
            <w:pPr>
              <w:spacing w:after="0"/>
            </w:pPr>
            <w:r>
              <w:rPr>
                <w:sz w:val="14"/>
              </w:rPr>
              <w:t>Prompt-injection robustness benchmark</w:t>
            </w:r>
          </w:p>
        </w:tc>
        <w:tc>
          <w:tcPr>
            <w:tcW w:w="1814" w:type="dxa"/>
            <w:vAlign w:val="center"/>
          </w:tcPr>
          <w:p w14:paraId="031A5402" w14:textId="77777777" w:rsidR="00C7069C" w:rsidRDefault="00000000">
            <w:pPr>
              <w:spacing w:after="0"/>
            </w:pPr>
            <w:r>
              <w:rPr>
                <w:sz w:val="14"/>
              </w:rPr>
              <w:t>Instruction-following robustness evaluation</w:t>
            </w:r>
          </w:p>
        </w:tc>
        <w:tc>
          <w:tcPr>
            <w:tcW w:w="2304" w:type="dxa"/>
            <w:vAlign w:val="center"/>
          </w:tcPr>
          <w:p w14:paraId="24158A0C" w14:textId="77777777" w:rsidR="00C7069C" w:rsidRDefault="00000000">
            <w:pPr>
              <w:spacing w:after="0"/>
            </w:pPr>
            <w:r>
              <w:rPr>
                <w:sz w:val="14"/>
              </w:rPr>
              <w:t>Embedded instructions can be mis-followed</w:t>
            </w:r>
          </w:p>
        </w:tc>
        <w:tc>
          <w:tcPr>
            <w:tcW w:w="2563" w:type="dxa"/>
            <w:vAlign w:val="center"/>
          </w:tcPr>
          <w:p w14:paraId="695DC67A" w14:textId="77777777" w:rsidR="00C7069C" w:rsidRDefault="00000000">
            <w:pPr>
              <w:spacing w:after="0"/>
            </w:pPr>
            <w:r>
              <w:rPr>
                <w:sz w:val="14"/>
              </w:rPr>
              <w:t>Model robustness, not a deployed action gate</w:t>
            </w:r>
          </w:p>
        </w:tc>
      </w:tr>
      <w:tr w:rsidR="00C7069C" w14:paraId="2B906AFA" w14:textId="77777777">
        <w:trPr>
          <w:jc w:val="center"/>
        </w:trPr>
        <w:tc>
          <w:tcPr>
            <w:tcW w:w="518" w:type="dxa"/>
            <w:vAlign w:val="center"/>
          </w:tcPr>
          <w:p w14:paraId="457058BA" w14:textId="77777777" w:rsidR="00C7069C" w:rsidRDefault="00000000">
            <w:pPr>
              <w:spacing w:after="0"/>
            </w:pPr>
            <w:r>
              <w:rPr>
                <w:sz w:val="14"/>
              </w:rPr>
              <w:t>[5]</w:t>
            </w:r>
          </w:p>
        </w:tc>
        <w:tc>
          <w:tcPr>
            <w:tcW w:w="604" w:type="dxa"/>
            <w:vAlign w:val="center"/>
          </w:tcPr>
          <w:p w14:paraId="0208C45F" w14:textId="77777777" w:rsidR="00C7069C" w:rsidRDefault="00000000">
            <w:pPr>
              <w:spacing w:after="0"/>
            </w:pPr>
            <w:r>
              <w:rPr>
                <w:sz w:val="14"/>
              </w:rPr>
              <w:t>2024</w:t>
            </w:r>
          </w:p>
        </w:tc>
        <w:tc>
          <w:tcPr>
            <w:tcW w:w="1555" w:type="dxa"/>
            <w:vAlign w:val="center"/>
          </w:tcPr>
          <w:p w14:paraId="25621A19" w14:textId="77777777" w:rsidR="00C7069C" w:rsidRDefault="00000000">
            <w:pPr>
              <w:spacing w:after="0"/>
            </w:pPr>
            <w:r>
              <w:rPr>
                <w:sz w:val="14"/>
              </w:rPr>
              <w:t>WMT translation tasks</w:t>
            </w:r>
          </w:p>
        </w:tc>
        <w:tc>
          <w:tcPr>
            <w:tcW w:w="1814" w:type="dxa"/>
            <w:vAlign w:val="center"/>
          </w:tcPr>
          <w:p w14:paraId="3F9003A8" w14:textId="77777777" w:rsidR="00C7069C" w:rsidRDefault="00000000">
            <w:pPr>
              <w:spacing w:after="0"/>
            </w:pPr>
            <w:r>
              <w:rPr>
                <w:sz w:val="14"/>
              </w:rPr>
              <w:t>Prompt-injection test suite</w:t>
            </w:r>
          </w:p>
        </w:tc>
        <w:tc>
          <w:tcPr>
            <w:tcW w:w="2304" w:type="dxa"/>
            <w:vAlign w:val="center"/>
          </w:tcPr>
          <w:p w14:paraId="12E914F5" w14:textId="77777777" w:rsidR="00C7069C" w:rsidRDefault="00000000">
            <w:pPr>
              <w:spacing w:after="0"/>
            </w:pPr>
            <w:r>
              <w:rPr>
                <w:sz w:val="14"/>
              </w:rPr>
              <w:t>Extends formats and language pairs</w:t>
            </w:r>
          </w:p>
        </w:tc>
        <w:tc>
          <w:tcPr>
            <w:tcW w:w="2563" w:type="dxa"/>
            <w:vAlign w:val="center"/>
          </w:tcPr>
          <w:p w14:paraId="12D5B514" w14:textId="77777777" w:rsidR="00C7069C" w:rsidRDefault="00000000">
            <w:pPr>
              <w:spacing w:after="0"/>
            </w:pPr>
            <w:r>
              <w:rPr>
                <w:sz w:val="14"/>
              </w:rPr>
              <w:t>Translation is not a tool-using web application</w:t>
            </w:r>
          </w:p>
        </w:tc>
      </w:tr>
      <w:tr w:rsidR="00C7069C" w14:paraId="7F5A25DB" w14:textId="77777777">
        <w:trPr>
          <w:jc w:val="center"/>
        </w:trPr>
        <w:tc>
          <w:tcPr>
            <w:tcW w:w="518" w:type="dxa"/>
            <w:vAlign w:val="center"/>
          </w:tcPr>
          <w:p w14:paraId="5E64C0D3" w14:textId="77777777" w:rsidR="00C7069C" w:rsidRDefault="00000000">
            <w:pPr>
              <w:spacing w:after="0"/>
            </w:pPr>
            <w:r>
              <w:rPr>
                <w:sz w:val="14"/>
              </w:rPr>
              <w:t>[6]</w:t>
            </w:r>
          </w:p>
        </w:tc>
        <w:tc>
          <w:tcPr>
            <w:tcW w:w="604" w:type="dxa"/>
            <w:vAlign w:val="center"/>
          </w:tcPr>
          <w:p w14:paraId="5A464DD8" w14:textId="77777777" w:rsidR="00C7069C" w:rsidRDefault="00000000">
            <w:pPr>
              <w:spacing w:after="0"/>
            </w:pPr>
            <w:r>
              <w:rPr>
                <w:sz w:val="14"/>
              </w:rPr>
              <w:t>2025</w:t>
            </w:r>
          </w:p>
        </w:tc>
        <w:tc>
          <w:tcPr>
            <w:tcW w:w="1555" w:type="dxa"/>
            <w:vAlign w:val="center"/>
          </w:tcPr>
          <w:p w14:paraId="56254696" w14:textId="77777777" w:rsidR="00C7069C" w:rsidRDefault="00000000">
            <w:pPr>
              <w:spacing w:after="0"/>
            </w:pPr>
            <w:r>
              <w:rPr>
                <w:sz w:val="14"/>
              </w:rPr>
              <w:t>AgentDojo</w:t>
            </w:r>
          </w:p>
        </w:tc>
        <w:tc>
          <w:tcPr>
            <w:tcW w:w="1814" w:type="dxa"/>
            <w:vAlign w:val="center"/>
          </w:tcPr>
          <w:p w14:paraId="6F11D0A4" w14:textId="77777777" w:rsidR="00C7069C" w:rsidRDefault="00000000">
            <w:pPr>
              <w:spacing w:after="0"/>
            </w:pPr>
            <w:r>
              <w:rPr>
                <w:sz w:val="14"/>
              </w:rPr>
              <w:t>Task Shield task-alignment defense</w:t>
            </w:r>
          </w:p>
        </w:tc>
        <w:tc>
          <w:tcPr>
            <w:tcW w:w="2304" w:type="dxa"/>
            <w:vAlign w:val="center"/>
          </w:tcPr>
          <w:p w14:paraId="197E0FDA" w14:textId="77777777" w:rsidR="00C7069C" w:rsidRDefault="00000000">
            <w:pPr>
              <w:spacing w:after="0"/>
            </w:pPr>
            <w:r>
              <w:rPr>
                <w:sz w:val="14"/>
              </w:rPr>
              <w:t>2.07% ASR; 69.79% task utility on GPT-4o</w:t>
            </w:r>
          </w:p>
        </w:tc>
        <w:tc>
          <w:tcPr>
            <w:tcW w:w="2563" w:type="dxa"/>
            <w:vAlign w:val="center"/>
          </w:tcPr>
          <w:p w14:paraId="1432E3CF" w14:textId="77777777" w:rsidR="00C7069C" w:rsidRDefault="00000000">
            <w:pPr>
              <w:spacing w:after="0"/>
            </w:pPr>
            <w:r>
              <w:rPr>
                <w:sz w:val="14"/>
              </w:rPr>
              <w:t>Reliable goal/action assessment is required</w:t>
            </w:r>
          </w:p>
        </w:tc>
      </w:tr>
      <w:tr w:rsidR="00C7069C" w14:paraId="00CF29C0" w14:textId="77777777">
        <w:trPr>
          <w:jc w:val="center"/>
        </w:trPr>
        <w:tc>
          <w:tcPr>
            <w:tcW w:w="518" w:type="dxa"/>
            <w:vAlign w:val="center"/>
          </w:tcPr>
          <w:p w14:paraId="406B4276" w14:textId="77777777" w:rsidR="00C7069C" w:rsidRDefault="00000000">
            <w:pPr>
              <w:spacing w:after="0"/>
            </w:pPr>
            <w:r>
              <w:rPr>
                <w:sz w:val="14"/>
              </w:rPr>
              <w:t>[7]</w:t>
            </w:r>
          </w:p>
        </w:tc>
        <w:tc>
          <w:tcPr>
            <w:tcW w:w="604" w:type="dxa"/>
            <w:vAlign w:val="center"/>
          </w:tcPr>
          <w:p w14:paraId="6DE1851A" w14:textId="77777777" w:rsidR="00C7069C" w:rsidRDefault="00000000">
            <w:pPr>
              <w:spacing w:after="0"/>
            </w:pPr>
            <w:r>
              <w:rPr>
                <w:sz w:val="14"/>
              </w:rPr>
              <w:t>2025</w:t>
            </w:r>
          </w:p>
        </w:tc>
        <w:tc>
          <w:tcPr>
            <w:tcW w:w="1555" w:type="dxa"/>
            <w:vAlign w:val="center"/>
          </w:tcPr>
          <w:p w14:paraId="7FBC2749" w14:textId="77777777" w:rsidR="00C7069C" w:rsidRDefault="00000000">
            <w:pPr>
              <w:spacing w:after="0"/>
            </w:pPr>
            <w:r>
              <w:rPr>
                <w:sz w:val="14"/>
              </w:rPr>
              <w:t>Prompt-injection tasks</w:t>
            </w:r>
          </w:p>
        </w:tc>
        <w:tc>
          <w:tcPr>
            <w:tcW w:w="1814" w:type="dxa"/>
            <w:vAlign w:val="center"/>
          </w:tcPr>
          <w:p w14:paraId="703C0AA3" w14:textId="77777777" w:rsidR="00C7069C" w:rsidRDefault="00000000">
            <w:pPr>
              <w:spacing w:after="0"/>
            </w:pPr>
            <w:r>
              <w:rPr>
                <w:sz w:val="14"/>
              </w:rPr>
              <w:t>StruQ structured queries + fine-tuning</w:t>
            </w:r>
          </w:p>
        </w:tc>
        <w:tc>
          <w:tcPr>
            <w:tcW w:w="2304" w:type="dxa"/>
            <w:vAlign w:val="center"/>
          </w:tcPr>
          <w:p w14:paraId="4A70F771" w14:textId="77777777" w:rsidR="00C7069C" w:rsidRDefault="00000000">
            <w:pPr>
              <w:spacing w:after="0"/>
            </w:pPr>
            <w:r>
              <w:rPr>
                <w:sz w:val="14"/>
              </w:rPr>
              <w:t>Improved resistance with little/no reported utility loss</w:t>
            </w:r>
          </w:p>
        </w:tc>
        <w:tc>
          <w:tcPr>
            <w:tcW w:w="2563" w:type="dxa"/>
            <w:vAlign w:val="center"/>
          </w:tcPr>
          <w:p w14:paraId="6AD17700" w14:textId="77777777" w:rsidR="00C7069C" w:rsidRDefault="00000000">
            <w:pPr>
              <w:spacing w:after="0"/>
            </w:pPr>
            <w:r>
              <w:rPr>
                <w:sz w:val="14"/>
              </w:rPr>
              <w:t>Needs a trained model and structured-query support</w:t>
            </w:r>
          </w:p>
        </w:tc>
      </w:tr>
      <w:tr w:rsidR="00C7069C" w14:paraId="2C317D24" w14:textId="77777777">
        <w:trPr>
          <w:jc w:val="center"/>
        </w:trPr>
        <w:tc>
          <w:tcPr>
            <w:tcW w:w="518" w:type="dxa"/>
            <w:vAlign w:val="center"/>
          </w:tcPr>
          <w:p w14:paraId="268149D9" w14:textId="77777777" w:rsidR="00C7069C" w:rsidRDefault="00000000">
            <w:pPr>
              <w:spacing w:after="0"/>
            </w:pPr>
            <w:r>
              <w:rPr>
                <w:sz w:val="14"/>
              </w:rPr>
              <w:t>[8]</w:t>
            </w:r>
          </w:p>
        </w:tc>
        <w:tc>
          <w:tcPr>
            <w:tcW w:w="604" w:type="dxa"/>
            <w:vAlign w:val="center"/>
          </w:tcPr>
          <w:p w14:paraId="48FACBEB" w14:textId="77777777" w:rsidR="00C7069C" w:rsidRDefault="00000000">
            <w:pPr>
              <w:spacing w:after="0"/>
            </w:pPr>
            <w:r>
              <w:rPr>
                <w:sz w:val="14"/>
              </w:rPr>
              <w:t>2025</w:t>
            </w:r>
          </w:p>
        </w:tc>
        <w:tc>
          <w:tcPr>
            <w:tcW w:w="1555" w:type="dxa"/>
            <w:vAlign w:val="center"/>
          </w:tcPr>
          <w:p w14:paraId="586DE3A7" w14:textId="77777777" w:rsidR="00C7069C" w:rsidRDefault="00000000">
            <w:pPr>
              <w:spacing w:after="0"/>
            </w:pPr>
            <w:r>
              <w:rPr>
                <w:sz w:val="14"/>
              </w:rPr>
              <w:t>Indirect external-tool injections</w:t>
            </w:r>
          </w:p>
        </w:tc>
        <w:tc>
          <w:tcPr>
            <w:tcW w:w="1814" w:type="dxa"/>
            <w:vAlign w:val="center"/>
          </w:tcPr>
          <w:p w14:paraId="0AC367C5" w14:textId="77777777" w:rsidR="00C7069C" w:rsidRDefault="00000000">
            <w:pPr>
              <w:spacing w:after="0"/>
            </w:pPr>
            <w:r>
              <w:rPr>
                <w:sz w:val="14"/>
              </w:rPr>
              <w:t>Detection + segmentation/extraction removal</w:t>
            </w:r>
          </w:p>
        </w:tc>
        <w:tc>
          <w:tcPr>
            <w:tcW w:w="2304" w:type="dxa"/>
            <w:vAlign w:val="center"/>
          </w:tcPr>
          <w:p w14:paraId="0570ABD7" w14:textId="77777777" w:rsidR="00C7069C" w:rsidRDefault="00000000">
            <w:pPr>
              <w:spacing w:after="0"/>
            </w:pPr>
            <w:r>
              <w:rPr>
                <w:sz w:val="14"/>
              </w:rPr>
              <w:t>Compares detection and two removal methods</w:t>
            </w:r>
          </w:p>
        </w:tc>
        <w:tc>
          <w:tcPr>
            <w:tcW w:w="2563" w:type="dxa"/>
            <w:vAlign w:val="center"/>
          </w:tcPr>
          <w:p w14:paraId="4E7CFE38" w14:textId="77777777" w:rsidR="00C7069C" w:rsidRDefault="00000000">
            <w:pPr>
              <w:spacing w:after="0"/>
            </w:pPr>
            <w:r>
              <w:rPr>
                <w:sz w:val="14"/>
              </w:rPr>
              <w:t>Motivates more realistic indirect evaluation</w:t>
            </w:r>
          </w:p>
        </w:tc>
      </w:tr>
      <w:tr w:rsidR="00C7069C" w14:paraId="41EE538F" w14:textId="77777777">
        <w:trPr>
          <w:jc w:val="center"/>
        </w:trPr>
        <w:tc>
          <w:tcPr>
            <w:tcW w:w="518" w:type="dxa"/>
            <w:vAlign w:val="center"/>
          </w:tcPr>
          <w:p w14:paraId="019A9CE8" w14:textId="77777777" w:rsidR="00C7069C" w:rsidRDefault="00000000">
            <w:pPr>
              <w:spacing w:after="0"/>
            </w:pPr>
            <w:r>
              <w:rPr>
                <w:sz w:val="14"/>
              </w:rPr>
              <w:t>[9]</w:t>
            </w:r>
          </w:p>
        </w:tc>
        <w:tc>
          <w:tcPr>
            <w:tcW w:w="604" w:type="dxa"/>
            <w:vAlign w:val="center"/>
          </w:tcPr>
          <w:p w14:paraId="2382270E" w14:textId="77777777" w:rsidR="00C7069C" w:rsidRDefault="00000000">
            <w:pPr>
              <w:spacing w:after="0"/>
            </w:pPr>
            <w:r>
              <w:rPr>
                <w:sz w:val="14"/>
              </w:rPr>
              <w:t>2025</w:t>
            </w:r>
          </w:p>
        </w:tc>
        <w:tc>
          <w:tcPr>
            <w:tcW w:w="1555" w:type="dxa"/>
            <w:vAlign w:val="center"/>
          </w:tcPr>
          <w:p w14:paraId="53211575" w14:textId="77777777" w:rsidR="00C7069C" w:rsidRDefault="00000000">
            <w:pPr>
              <w:spacing w:after="0"/>
            </w:pPr>
            <w:r>
              <w:rPr>
                <w:sz w:val="14"/>
              </w:rPr>
              <w:t>BIPIA</w:t>
            </w:r>
          </w:p>
        </w:tc>
        <w:tc>
          <w:tcPr>
            <w:tcW w:w="1814" w:type="dxa"/>
            <w:vAlign w:val="center"/>
          </w:tcPr>
          <w:p w14:paraId="374118E3" w14:textId="77777777" w:rsidR="00C7069C" w:rsidRDefault="00000000">
            <w:pPr>
              <w:spacing w:after="0"/>
            </w:pPr>
            <w:r>
              <w:rPr>
                <w:sz w:val="14"/>
              </w:rPr>
              <w:t>InstructDetector intermediate features</w:t>
            </w:r>
          </w:p>
        </w:tc>
        <w:tc>
          <w:tcPr>
            <w:tcW w:w="2304" w:type="dxa"/>
            <w:vAlign w:val="center"/>
          </w:tcPr>
          <w:p w14:paraId="5764837F" w14:textId="77777777" w:rsidR="00C7069C" w:rsidRDefault="00000000">
            <w:pPr>
              <w:spacing w:after="0"/>
            </w:pPr>
            <w:r>
              <w:rPr>
                <w:sz w:val="14"/>
              </w:rPr>
              <w:t>99.60% in-domain; 96.90% OOD accuracy</w:t>
            </w:r>
          </w:p>
        </w:tc>
        <w:tc>
          <w:tcPr>
            <w:tcW w:w="2563" w:type="dxa"/>
            <w:vAlign w:val="center"/>
          </w:tcPr>
          <w:p w14:paraId="46158078" w14:textId="77777777" w:rsidR="00C7069C" w:rsidRDefault="00000000">
            <w:pPr>
              <w:spacing w:after="0"/>
            </w:pPr>
            <w:r>
              <w:rPr>
                <w:sz w:val="14"/>
              </w:rPr>
              <w:t>Requires internal model signals/gradients</w:t>
            </w:r>
          </w:p>
        </w:tc>
      </w:tr>
      <w:tr w:rsidR="00C7069C" w14:paraId="78D56D4D" w14:textId="77777777">
        <w:trPr>
          <w:jc w:val="center"/>
        </w:trPr>
        <w:tc>
          <w:tcPr>
            <w:tcW w:w="518" w:type="dxa"/>
            <w:vAlign w:val="center"/>
          </w:tcPr>
          <w:p w14:paraId="6F08783A" w14:textId="77777777" w:rsidR="00C7069C" w:rsidRDefault="00000000">
            <w:pPr>
              <w:spacing w:after="0"/>
            </w:pPr>
            <w:r>
              <w:rPr>
                <w:sz w:val="14"/>
              </w:rPr>
              <w:t>[10]</w:t>
            </w:r>
          </w:p>
        </w:tc>
        <w:tc>
          <w:tcPr>
            <w:tcW w:w="604" w:type="dxa"/>
            <w:vAlign w:val="center"/>
          </w:tcPr>
          <w:p w14:paraId="32F93CC3" w14:textId="77777777" w:rsidR="00C7069C" w:rsidRDefault="00000000">
            <w:pPr>
              <w:spacing w:after="0"/>
            </w:pPr>
            <w:r>
              <w:rPr>
                <w:sz w:val="14"/>
              </w:rPr>
              <w:t>2025</w:t>
            </w:r>
          </w:p>
        </w:tc>
        <w:tc>
          <w:tcPr>
            <w:tcW w:w="1555" w:type="dxa"/>
            <w:vAlign w:val="center"/>
          </w:tcPr>
          <w:p w14:paraId="1E9CC9B4" w14:textId="77777777" w:rsidR="00C7069C" w:rsidRDefault="00000000">
            <w:pPr>
              <w:spacing w:after="0"/>
            </w:pPr>
            <w:r>
              <w:rPr>
                <w:sz w:val="14"/>
              </w:rPr>
              <w:t>LLM-integrated tasks</w:t>
            </w:r>
          </w:p>
        </w:tc>
        <w:tc>
          <w:tcPr>
            <w:tcW w:w="1814" w:type="dxa"/>
            <w:vAlign w:val="center"/>
          </w:tcPr>
          <w:p w14:paraId="7FF2AF17" w14:textId="77777777" w:rsidR="00C7069C" w:rsidRDefault="00000000">
            <w:pPr>
              <w:spacing w:after="0"/>
            </w:pPr>
            <w:r>
              <w:rPr>
                <w:sz w:val="14"/>
              </w:rPr>
              <w:t>Defense derived from attack techniques</w:t>
            </w:r>
          </w:p>
        </w:tc>
        <w:tc>
          <w:tcPr>
            <w:tcW w:w="2304" w:type="dxa"/>
            <w:vAlign w:val="center"/>
          </w:tcPr>
          <w:p w14:paraId="1C34081C" w14:textId="77777777" w:rsidR="00C7069C" w:rsidRDefault="00000000">
            <w:pPr>
              <w:spacing w:after="0"/>
            </w:pPr>
            <w:r>
              <w:rPr>
                <w:sz w:val="14"/>
              </w:rPr>
              <w:t>SOTA against evaluated baselines</w:t>
            </w:r>
          </w:p>
        </w:tc>
        <w:tc>
          <w:tcPr>
            <w:tcW w:w="2563" w:type="dxa"/>
            <w:vAlign w:val="center"/>
          </w:tcPr>
          <w:p w14:paraId="1327CC4D" w14:textId="77777777" w:rsidR="00C7069C" w:rsidRDefault="00000000">
            <w:pPr>
              <w:spacing w:after="0"/>
            </w:pPr>
            <w:r>
              <w:rPr>
                <w:sz w:val="14"/>
              </w:rPr>
              <w:t>Attack/model dependent</w:t>
            </w:r>
          </w:p>
        </w:tc>
      </w:tr>
      <w:tr w:rsidR="00C7069C" w14:paraId="3A2B445E" w14:textId="77777777">
        <w:trPr>
          <w:jc w:val="center"/>
        </w:trPr>
        <w:tc>
          <w:tcPr>
            <w:tcW w:w="518" w:type="dxa"/>
            <w:vAlign w:val="center"/>
          </w:tcPr>
          <w:p w14:paraId="2ECF202E" w14:textId="77777777" w:rsidR="00C7069C" w:rsidRDefault="00000000">
            <w:pPr>
              <w:spacing w:after="0"/>
            </w:pPr>
            <w:r>
              <w:rPr>
                <w:sz w:val="14"/>
              </w:rPr>
              <w:t>[11]</w:t>
            </w:r>
          </w:p>
        </w:tc>
        <w:tc>
          <w:tcPr>
            <w:tcW w:w="604" w:type="dxa"/>
            <w:vAlign w:val="center"/>
          </w:tcPr>
          <w:p w14:paraId="5B124C44" w14:textId="77777777" w:rsidR="00C7069C" w:rsidRDefault="00000000">
            <w:pPr>
              <w:spacing w:after="0"/>
            </w:pPr>
            <w:r>
              <w:rPr>
                <w:sz w:val="14"/>
              </w:rPr>
              <w:t>2024</w:t>
            </w:r>
          </w:p>
        </w:tc>
        <w:tc>
          <w:tcPr>
            <w:tcW w:w="1555" w:type="dxa"/>
            <w:vAlign w:val="center"/>
          </w:tcPr>
          <w:p w14:paraId="6804B873" w14:textId="77777777" w:rsidR="00C7069C" w:rsidRDefault="00000000">
            <w:pPr>
              <w:spacing w:after="0"/>
            </w:pPr>
            <w:r>
              <w:rPr>
                <w:sz w:val="14"/>
              </w:rPr>
              <w:t>11 LLM-agent frameworks; 17 apps</w:t>
            </w:r>
          </w:p>
        </w:tc>
        <w:tc>
          <w:tcPr>
            <w:tcW w:w="1814" w:type="dxa"/>
            <w:vAlign w:val="center"/>
          </w:tcPr>
          <w:p w14:paraId="1824F543" w14:textId="77777777" w:rsidR="00C7069C" w:rsidRDefault="00000000">
            <w:pPr>
              <w:spacing w:after="0"/>
            </w:pPr>
            <w:r>
              <w:rPr>
                <w:sz w:val="14"/>
              </w:rPr>
              <w:t>LLMSmith black-box vulnerability analysis</w:t>
            </w:r>
          </w:p>
        </w:tc>
        <w:tc>
          <w:tcPr>
            <w:tcW w:w="2304" w:type="dxa"/>
            <w:vAlign w:val="center"/>
          </w:tcPr>
          <w:p w14:paraId="5CE1CAE1" w14:textId="77777777" w:rsidR="00C7069C" w:rsidRDefault="00000000">
            <w:pPr>
              <w:spacing w:after="0"/>
            </w:pPr>
            <w:r>
              <w:rPr>
                <w:sz w:val="14"/>
              </w:rPr>
              <w:t>20 vulnerabilities; 11 CVEs; 17 affected apps</w:t>
            </w:r>
          </w:p>
        </w:tc>
        <w:tc>
          <w:tcPr>
            <w:tcW w:w="2563" w:type="dxa"/>
            <w:vAlign w:val="center"/>
          </w:tcPr>
          <w:p w14:paraId="5D30F4C6" w14:textId="77777777" w:rsidR="00C7069C" w:rsidRDefault="00000000">
            <w:pPr>
              <w:spacing w:after="0"/>
            </w:pPr>
            <w:r>
              <w:rPr>
                <w:sz w:val="14"/>
              </w:rPr>
              <w:t>Python/RCE-heavy application scope</w:t>
            </w:r>
          </w:p>
        </w:tc>
      </w:tr>
      <w:tr w:rsidR="00C7069C" w14:paraId="5428050C" w14:textId="77777777">
        <w:trPr>
          <w:jc w:val="center"/>
        </w:trPr>
        <w:tc>
          <w:tcPr>
            <w:tcW w:w="518" w:type="dxa"/>
            <w:vAlign w:val="center"/>
          </w:tcPr>
          <w:p w14:paraId="28EAAE54" w14:textId="77777777" w:rsidR="00C7069C" w:rsidRDefault="00000000">
            <w:pPr>
              <w:spacing w:after="0"/>
            </w:pPr>
            <w:r>
              <w:rPr>
                <w:sz w:val="14"/>
              </w:rPr>
              <w:t>[12]</w:t>
            </w:r>
          </w:p>
        </w:tc>
        <w:tc>
          <w:tcPr>
            <w:tcW w:w="604" w:type="dxa"/>
            <w:vAlign w:val="center"/>
          </w:tcPr>
          <w:p w14:paraId="4E2EA0BC" w14:textId="77777777" w:rsidR="00C7069C" w:rsidRDefault="00000000">
            <w:pPr>
              <w:spacing w:after="0"/>
            </w:pPr>
            <w:r>
              <w:rPr>
                <w:sz w:val="14"/>
              </w:rPr>
              <w:t>2025</w:t>
            </w:r>
          </w:p>
        </w:tc>
        <w:tc>
          <w:tcPr>
            <w:tcW w:w="1555" w:type="dxa"/>
            <w:vAlign w:val="center"/>
          </w:tcPr>
          <w:p w14:paraId="6DD92C6D" w14:textId="77777777" w:rsidR="00C7069C" w:rsidRDefault="00000000">
            <w:pPr>
              <w:spacing w:after="0"/>
            </w:pPr>
            <w:r>
              <w:rPr>
                <w:sz w:val="14"/>
              </w:rPr>
              <w:t>End-to-end web-agent environment</w:t>
            </w:r>
          </w:p>
        </w:tc>
        <w:tc>
          <w:tcPr>
            <w:tcW w:w="1814" w:type="dxa"/>
            <w:vAlign w:val="center"/>
          </w:tcPr>
          <w:p w14:paraId="3F8A5386" w14:textId="77777777" w:rsidR="00C7069C" w:rsidRDefault="00000000">
            <w:pPr>
              <w:spacing w:after="0"/>
            </w:pPr>
            <w:r>
              <w:rPr>
                <w:sz w:val="14"/>
              </w:rPr>
              <w:t>WASP benchmark</w:t>
            </w:r>
          </w:p>
        </w:tc>
        <w:tc>
          <w:tcPr>
            <w:tcW w:w="2304" w:type="dxa"/>
            <w:vAlign w:val="center"/>
          </w:tcPr>
          <w:p w14:paraId="38B31452" w14:textId="77777777" w:rsidR="00C7069C" w:rsidRDefault="00000000">
            <w:pPr>
              <w:spacing w:after="0"/>
            </w:pPr>
            <w:r>
              <w:rPr>
                <w:sz w:val="14"/>
              </w:rPr>
              <w:t>Partial execution up to 86%; full goals 0–17%</w:t>
            </w:r>
          </w:p>
        </w:tc>
        <w:tc>
          <w:tcPr>
            <w:tcW w:w="2563" w:type="dxa"/>
            <w:vAlign w:val="center"/>
          </w:tcPr>
          <w:p w14:paraId="491F630F" w14:textId="77777777" w:rsidR="00C7069C" w:rsidRDefault="00000000">
            <w:pPr>
              <w:spacing w:after="0"/>
            </w:pPr>
            <w:r>
              <w:rPr>
                <w:sz w:val="14"/>
              </w:rPr>
              <w:t>Agent weakness can mask security risk</w:t>
            </w:r>
          </w:p>
        </w:tc>
      </w:tr>
      <w:tr w:rsidR="00C7069C" w14:paraId="28A9A76B" w14:textId="77777777">
        <w:trPr>
          <w:jc w:val="center"/>
        </w:trPr>
        <w:tc>
          <w:tcPr>
            <w:tcW w:w="518" w:type="dxa"/>
            <w:vAlign w:val="center"/>
          </w:tcPr>
          <w:p w14:paraId="1E568BF5" w14:textId="77777777" w:rsidR="00C7069C" w:rsidRDefault="00000000">
            <w:pPr>
              <w:spacing w:after="0"/>
            </w:pPr>
            <w:r>
              <w:rPr>
                <w:sz w:val="14"/>
              </w:rPr>
              <w:lastRenderedPageBreak/>
              <w:t>[13]</w:t>
            </w:r>
          </w:p>
        </w:tc>
        <w:tc>
          <w:tcPr>
            <w:tcW w:w="604" w:type="dxa"/>
            <w:vAlign w:val="center"/>
          </w:tcPr>
          <w:p w14:paraId="7943ED5F" w14:textId="77777777" w:rsidR="00C7069C" w:rsidRDefault="00000000">
            <w:pPr>
              <w:spacing w:after="0"/>
            </w:pPr>
            <w:r>
              <w:rPr>
                <w:sz w:val="14"/>
              </w:rPr>
              <w:t>2025</w:t>
            </w:r>
          </w:p>
        </w:tc>
        <w:tc>
          <w:tcPr>
            <w:tcW w:w="1555" w:type="dxa"/>
            <w:vAlign w:val="center"/>
          </w:tcPr>
          <w:p w14:paraId="3DF65EA2" w14:textId="77777777" w:rsidR="00C7069C" w:rsidRDefault="00000000">
            <w:pPr>
              <w:spacing w:after="0"/>
            </w:pPr>
            <w:r>
              <w:rPr>
                <w:sz w:val="14"/>
              </w:rPr>
              <w:t>AgentDojo and ASB</w:t>
            </w:r>
          </w:p>
        </w:tc>
        <w:tc>
          <w:tcPr>
            <w:tcW w:w="1814" w:type="dxa"/>
            <w:vAlign w:val="center"/>
          </w:tcPr>
          <w:p w14:paraId="2F992FEA" w14:textId="77777777" w:rsidR="00C7069C" w:rsidRDefault="00000000">
            <w:pPr>
              <w:spacing w:after="0"/>
            </w:pPr>
            <w:r>
              <w:rPr>
                <w:sz w:val="14"/>
              </w:rPr>
              <w:t>DRIFT planner + validator + isolator</w:t>
            </w:r>
          </w:p>
        </w:tc>
        <w:tc>
          <w:tcPr>
            <w:tcW w:w="2304" w:type="dxa"/>
            <w:vAlign w:val="center"/>
          </w:tcPr>
          <w:p w14:paraId="22CFED4A" w14:textId="77777777" w:rsidR="00C7069C" w:rsidRDefault="00000000">
            <w:pPr>
              <w:spacing w:after="0"/>
            </w:pPr>
            <w:r>
              <w:rPr>
                <w:sz w:val="14"/>
              </w:rPr>
              <w:t>Security/utility evaluated across models</w:t>
            </w:r>
          </w:p>
        </w:tc>
        <w:tc>
          <w:tcPr>
            <w:tcW w:w="2563" w:type="dxa"/>
            <w:vAlign w:val="center"/>
          </w:tcPr>
          <w:p w14:paraId="1DCEFC16" w14:textId="77777777" w:rsidR="00C7069C" w:rsidRDefault="00000000">
            <w:pPr>
              <w:spacing w:after="0"/>
            </w:pPr>
            <w:r>
              <w:rPr>
                <w:sz w:val="14"/>
              </w:rPr>
              <w:t>Broader rule/isolation defense, not a consistency test</w:t>
            </w:r>
          </w:p>
        </w:tc>
      </w:tr>
      <w:tr w:rsidR="00C7069C" w14:paraId="007100E5" w14:textId="77777777">
        <w:trPr>
          <w:jc w:val="center"/>
        </w:trPr>
        <w:tc>
          <w:tcPr>
            <w:tcW w:w="518" w:type="dxa"/>
            <w:vAlign w:val="center"/>
          </w:tcPr>
          <w:p w14:paraId="0F887C08" w14:textId="77777777" w:rsidR="00C7069C" w:rsidRDefault="00000000">
            <w:pPr>
              <w:spacing w:after="0"/>
            </w:pPr>
            <w:r>
              <w:rPr>
                <w:sz w:val="14"/>
              </w:rPr>
              <w:t>[14]</w:t>
            </w:r>
          </w:p>
        </w:tc>
        <w:tc>
          <w:tcPr>
            <w:tcW w:w="604" w:type="dxa"/>
            <w:vAlign w:val="center"/>
          </w:tcPr>
          <w:p w14:paraId="020AEF50" w14:textId="77777777" w:rsidR="00C7069C" w:rsidRDefault="00000000">
            <w:pPr>
              <w:spacing w:after="0"/>
            </w:pPr>
            <w:r>
              <w:rPr>
                <w:sz w:val="14"/>
              </w:rPr>
              <w:t>2025</w:t>
            </w:r>
          </w:p>
        </w:tc>
        <w:tc>
          <w:tcPr>
            <w:tcW w:w="1555" w:type="dxa"/>
            <w:vAlign w:val="center"/>
          </w:tcPr>
          <w:p w14:paraId="788B9093" w14:textId="77777777" w:rsidR="00C7069C" w:rsidRDefault="00000000">
            <w:pPr>
              <w:spacing w:after="0"/>
            </w:pPr>
            <w:r>
              <w:rPr>
                <w:sz w:val="14"/>
              </w:rPr>
              <w:t>BIPIA</w:t>
            </w:r>
          </w:p>
        </w:tc>
        <w:tc>
          <w:tcPr>
            <w:tcW w:w="1814" w:type="dxa"/>
            <w:vAlign w:val="center"/>
          </w:tcPr>
          <w:p w14:paraId="1D36404F" w14:textId="77777777" w:rsidR="00C7069C" w:rsidRDefault="00000000">
            <w:pPr>
              <w:spacing w:after="0"/>
            </w:pPr>
            <w:r>
              <w:rPr>
                <w:sz w:val="14"/>
              </w:rPr>
              <w:t>Benchmark + boundary-awareness defenses</w:t>
            </w:r>
          </w:p>
        </w:tc>
        <w:tc>
          <w:tcPr>
            <w:tcW w:w="2304" w:type="dxa"/>
            <w:vAlign w:val="center"/>
          </w:tcPr>
          <w:p w14:paraId="454DC647" w14:textId="77777777" w:rsidR="00C7069C" w:rsidRDefault="00000000">
            <w:pPr>
              <w:spacing w:after="0"/>
            </w:pPr>
            <w:r>
              <w:rPr>
                <w:sz w:val="14"/>
              </w:rPr>
              <w:t>25 LLMs evaluated; code released</w:t>
            </w:r>
          </w:p>
        </w:tc>
        <w:tc>
          <w:tcPr>
            <w:tcW w:w="2563" w:type="dxa"/>
            <w:vAlign w:val="center"/>
          </w:tcPr>
          <w:p w14:paraId="53BC78BE" w14:textId="77777777" w:rsidR="00C7069C" w:rsidRDefault="00000000">
            <w:pPr>
              <w:spacing w:after="0"/>
            </w:pPr>
            <w:r>
              <w:rPr>
                <w:sz w:val="14"/>
              </w:rPr>
              <w:t>Predates newer web representation attacks</w:t>
            </w:r>
          </w:p>
        </w:tc>
      </w:tr>
      <w:tr w:rsidR="00C7069C" w14:paraId="7AF936F7" w14:textId="77777777">
        <w:trPr>
          <w:jc w:val="center"/>
        </w:trPr>
        <w:tc>
          <w:tcPr>
            <w:tcW w:w="518" w:type="dxa"/>
            <w:vAlign w:val="center"/>
          </w:tcPr>
          <w:p w14:paraId="0A3C0BF0" w14:textId="77777777" w:rsidR="00C7069C" w:rsidRDefault="00000000">
            <w:pPr>
              <w:spacing w:after="0"/>
            </w:pPr>
            <w:r>
              <w:rPr>
                <w:sz w:val="14"/>
              </w:rPr>
              <w:t>[15]</w:t>
            </w:r>
          </w:p>
        </w:tc>
        <w:tc>
          <w:tcPr>
            <w:tcW w:w="604" w:type="dxa"/>
            <w:vAlign w:val="center"/>
          </w:tcPr>
          <w:p w14:paraId="3CA2B940" w14:textId="77777777" w:rsidR="00C7069C" w:rsidRDefault="00000000">
            <w:pPr>
              <w:spacing w:after="0"/>
            </w:pPr>
            <w:r>
              <w:rPr>
                <w:sz w:val="14"/>
              </w:rPr>
              <w:t>2026</w:t>
            </w:r>
          </w:p>
        </w:tc>
        <w:tc>
          <w:tcPr>
            <w:tcW w:w="1555" w:type="dxa"/>
            <w:vAlign w:val="center"/>
          </w:tcPr>
          <w:p w14:paraId="49A9A108" w14:textId="77777777" w:rsidR="00C7069C" w:rsidRDefault="00000000">
            <w:pPr>
              <w:spacing w:after="0"/>
            </w:pPr>
            <w:r>
              <w:rPr>
                <w:sz w:val="14"/>
              </w:rPr>
              <w:t>Unified PI benchmarks</w:t>
            </w:r>
          </w:p>
        </w:tc>
        <w:tc>
          <w:tcPr>
            <w:tcW w:w="1814" w:type="dxa"/>
            <w:vAlign w:val="center"/>
          </w:tcPr>
          <w:p w14:paraId="0B938AB9" w14:textId="77777777" w:rsidR="00C7069C" w:rsidRDefault="00000000">
            <w:pPr>
              <w:spacing w:after="0"/>
            </w:pPr>
            <w:r>
              <w:rPr>
                <w:sz w:val="14"/>
              </w:rPr>
              <w:t>PIArena evaluation platform</w:t>
            </w:r>
          </w:p>
        </w:tc>
        <w:tc>
          <w:tcPr>
            <w:tcW w:w="2304" w:type="dxa"/>
            <w:vAlign w:val="center"/>
          </w:tcPr>
          <w:p w14:paraId="363D9461" w14:textId="77777777" w:rsidR="00C7069C" w:rsidRDefault="00000000">
            <w:pPr>
              <w:spacing w:after="0"/>
            </w:pPr>
            <w:r>
              <w:rPr>
                <w:sz w:val="14"/>
              </w:rPr>
              <w:t>Plug-in attack/defense evaluation</w:t>
            </w:r>
          </w:p>
        </w:tc>
        <w:tc>
          <w:tcPr>
            <w:tcW w:w="2563" w:type="dxa"/>
            <w:vAlign w:val="center"/>
          </w:tcPr>
          <w:p w14:paraId="7372176A" w14:textId="77777777" w:rsidR="00C7069C" w:rsidRDefault="00000000">
            <w:pPr>
              <w:spacing w:after="0"/>
            </w:pPr>
            <w:r>
              <w:rPr>
                <w:sz w:val="14"/>
              </w:rPr>
              <w:t>Platform, not complete representation solution</w:t>
            </w:r>
          </w:p>
        </w:tc>
      </w:tr>
    </w:tbl>
    <w:p w14:paraId="45BE8C81" w14:textId="77777777" w:rsidR="00C7069C" w:rsidRDefault="00000000">
      <w:pPr>
        <w:pStyle w:val="Heading2"/>
      </w:pPr>
      <w:r>
        <w:t>2.1 Research gaps derived from the comparison</w:t>
      </w:r>
    </w:p>
    <w:p w14:paraId="3A21048F" w14:textId="77777777" w:rsidR="00C7069C" w:rsidRDefault="00000000">
      <w:pPr>
        <w:pStyle w:val="ListBullet"/>
        <w:spacing w:after="60" w:line="252" w:lineRule="auto"/>
      </w:pPr>
      <w:r>
        <w:t>Representation mismatch remains under-measured: a web agent may act on a screenshot, DOM-derived text, or accessibility tree, while a detector sees only one view.</w:t>
      </w:r>
    </w:p>
    <w:p w14:paraId="1FB8B7AB" w14:textId="77777777" w:rsidR="00C7069C" w:rsidRDefault="00000000">
      <w:pPr>
        <w:pStyle w:val="ListBullet"/>
        <w:spacing w:after="60" w:line="252" w:lineRule="auto"/>
      </w:pPr>
      <w:r>
        <w:t>Benign web hard negatives are under-specified: ordinary pages contain commands, labels, forms, instructions, and metadata that can resemble an attack.</w:t>
      </w:r>
    </w:p>
    <w:p w14:paraId="0C6AED2C" w14:textId="77777777" w:rsidR="00C7069C" w:rsidRDefault="00000000">
      <w:pPr>
        <w:pStyle w:val="ListBullet"/>
        <w:spacing w:after="60" w:line="252" w:lineRule="auto"/>
      </w:pPr>
      <w:r>
        <w:t>Detection and action risk are often disconnected: input classification is not always linked to high-impact action policy, clean-task utility, false-positive cost, or latency.</w:t>
      </w:r>
    </w:p>
    <w:p w14:paraId="7D19607C" w14:textId="77777777" w:rsidR="00C7069C" w:rsidRDefault="00000000">
      <w:pPr>
        <w:pStyle w:val="ListBullet"/>
        <w:spacing w:after="60" w:line="252" w:lineRule="auto"/>
      </w:pPr>
      <w:r>
        <w:t>Representation-aware adaptive attacks are not a universal test condition; each candidate solution must test hidden/non-rendered HTML, accessibility content, visible text, screenshots, and benign imperative content.</w:t>
      </w:r>
    </w:p>
    <w:p w14:paraId="51977B64" w14:textId="77777777" w:rsidR="00C7069C" w:rsidRDefault="00000000">
      <w:pPr>
        <w:pStyle w:val="ListBullet"/>
        <w:spacing w:after="60" w:line="252" w:lineRule="auto"/>
      </w:pPr>
      <w:r>
        <w:t>Security scores are difficult to compare across differing threat models, thresholds, models, and task-completion definitions.</w:t>
      </w:r>
    </w:p>
    <w:p w14:paraId="3B659F65" w14:textId="77777777" w:rsidR="00C7069C" w:rsidRDefault="00000000">
      <w:pPr>
        <w:pStyle w:val="Heading1"/>
      </w:pPr>
      <w:r>
        <w:t>3. Testable problem statement</w:t>
      </w:r>
    </w:p>
    <w:p w14:paraId="44A0A707" w14:textId="77777777" w:rsidR="00C7069C" w:rsidRDefault="00000000">
      <w:r>
        <w:t>Given a webpage or tool result that an LLM-based web agent will use to complete a user task, represent the same content as raw DOM, normalized visible text, accessibility tree, and rendered screenshot; classify whether cross-representation evidence indicates prompt injection and, for high-impact actions only, output allow, isolate, or request-confirmation. The system must preserve benign task completion and avoid flagging legitimate accessibility or metadata instructions. It will be evaluated on representation-aligned examples derived from public agent-security benchmarks and a small licensed web-content set using attack success rate, unsafe high-impact action rate, benign task success, F1/AUROC, false-positive rate, latency, and cost. Success is defined relative to no-gate and single-view detector baselines: reduce unsafe high-impact actions without a pre-declared unacceptable degradation in benign task success or false-positive rate.</w:t>
      </w:r>
    </w:p>
    <w:p w14:paraId="6234A05E" w14:textId="77777777" w:rsidR="00C7069C" w:rsidRDefault="00000000">
      <w:pPr>
        <w:pStyle w:val="Heading1"/>
      </w:pPr>
      <w:r>
        <w:t>4. Proposed system architecture</w:t>
      </w:r>
    </w:p>
    <w:p w14:paraId="17F91469" w14:textId="77777777" w:rsidR="00C7069C" w:rsidRDefault="00000000">
      <w:r>
        <w:t>A separate high-resolution vector diagram, proposed_architecture.svg, accompanies this report. The architecture is a research hypothesis, not an implementation. It deliberately separates extraction, classification, and action policy so uncertainty does not silently become an automatic block.</w:t>
      </w:r>
    </w:p>
    <w:tbl>
      <w:tblPr>
        <w:tblW w:w="0" w:type="auto"/>
        <w:jc w:val="cente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Layout w:type="fixed"/>
        <w:tblLook w:val="04A0" w:firstRow="1" w:lastRow="0" w:firstColumn="1" w:lastColumn="0" w:noHBand="0" w:noVBand="1"/>
      </w:tblPr>
      <w:tblGrid>
        <w:gridCol w:w="1944"/>
        <w:gridCol w:w="3456"/>
        <w:gridCol w:w="3960"/>
      </w:tblGrid>
      <w:tr w:rsidR="00C7069C" w14:paraId="254ACA05" w14:textId="77777777">
        <w:trPr>
          <w:tblHeader/>
          <w:jc w:val="center"/>
        </w:trPr>
        <w:tc>
          <w:tcPr>
            <w:tcW w:w="1944" w:type="dxa"/>
            <w:shd w:val="clear" w:color="auto" w:fill="E8EEF5"/>
            <w:vAlign w:val="center"/>
          </w:tcPr>
          <w:p w14:paraId="4990C6F4" w14:textId="77777777" w:rsidR="00C7069C" w:rsidRDefault="00000000">
            <w:pPr>
              <w:spacing w:after="0"/>
            </w:pPr>
            <w:r>
              <w:rPr>
                <w:b/>
                <w:sz w:val="16"/>
              </w:rPr>
              <w:t>Module</w:t>
            </w:r>
          </w:p>
        </w:tc>
        <w:tc>
          <w:tcPr>
            <w:tcW w:w="3456" w:type="dxa"/>
            <w:shd w:val="clear" w:color="auto" w:fill="E8EEF5"/>
            <w:vAlign w:val="center"/>
          </w:tcPr>
          <w:p w14:paraId="522D4B11" w14:textId="77777777" w:rsidR="00C7069C" w:rsidRDefault="00000000">
            <w:pPr>
              <w:spacing w:after="0"/>
            </w:pPr>
            <w:r>
              <w:rPr>
                <w:b/>
                <w:sz w:val="16"/>
              </w:rPr>
              <w:t>Input → output</w:t>
            </w:r>
          </w:p>
        </w:tc>
        <w:tc>
          <w:tcPr>
            <w:tcW w:w="3960" w:type="dxa"/>
            <w:shd w:val="clear" w:color="auto" w:fill="E8EEF5"/>
            <w:vAlign w:val="center"/>
          </w:tcPr>
          <w:p w14:paraId="2EA5AF82" w14:textId="77777777" w:rsidR="00C7069C" w:rsidRDefault="00000000">
            <w:pPr>
              <w:spacing w:after="0"/>
            </w:pPr>
            <w:r>
              <w:rPr>
                <w:b/>
                <w:sz w:val="16"/>
              </w:rPr>
              <w:t>Justification / hypothesis</w:t>
            </w:r>
          </w:p>
        </w:tc>
      </w:tr>
      <w:tr w:rsidR="00C7069C" w14:paraId="7689409B" w14:textId="77777777">
        <w:trPr>
          <w:jc w:val="center"/>
        </w:trPr>
        <w:tc>
          <w:tcPr>
            <w:tcW w:w="1944" w:type="dxa"/>
            <w:vAlign w:val="center"/>
          </w:tcPr>
          <w:p w14:paraId="4134F9B5" w14:textId="77777777" w:rsidR="00C7069C" w:rsidRDefault="00000000">
            <w:pPr>
              <w:spacing w:after="0"/>
            </w:pPr>
            <w:r>
              <w:rPr>
                <w:sz w:val="16"/>
              </w:rPr>
              <w:t>Representation extractor</w:t>
            </w:r>
          </w:p>
        </w:tc>
        <w:tc>
          <w:tcPr>
            <w:tcW w:w="3456" w:type="dxa"/>
            <w:vAlign w:val="center"/>
          </w:tcPr>
          <w:p w14:paraId="285C7111" w14:textId="77777777" w:rsidR="00C7069C" w:rsidRDefault="00000000">
            <w:pPr>
              <w:spacing w:after="0"/>
            </w:pPr>
            <w:r>
              <w:rPr>
                <w:sz w:val="16"/>
              </w:rPr>
              <w:t>Web/tool content → DOM, visible text, accessibility tree, screenshot</w:t>
            </w:r>
          </w:p>
        </w:tc>
        <w:tc>
          <w:tcPr>
            <w:tcW w:w="3960" w:type="dxa"/>
            <w:vAlign w:val="center"/>
          </w:tcPr>
          <w:p w14:paraId="7D6A6A9F" w14:textId="77777777" w:rsidR="00C7069C" w:rsidRDefault="00000000">
            <w:pPr>
              <w:spacing w:after="0"/>
            </w:pPr>
            <w:r>
              <w:rPr>
                <w:sz w:val="16"/>
              </w:rPr>
              <w:t>An injection may be visible or actionable in only some agent-consumed views.</w:t>
            </w:r>
          </w:p>
        </w:tc>
      </w:tr>
      <w:tr w:rsidR="00C7069C" w14:paraId="1E3924A3" w14:textId="77777777">
        <w:trPr>
          <w:jc w:val="center"/>
        </w:trPr>
        <w:tc>
          <w:tcPr>
            <w:tcW w:w="1944" w:type="dxa"/>
            <w:vAlign w:val="center"/>
          </w:tcPr>
          <w:p w14:paraId="0A807B6A" w14:textId="77777777" w:rsidR="00C7069C" w:rsidRDefault="00000000">
            <w:pPr>
              <w:spacing w:after="0"/>
            </w:pPr>
            <w:r>
              <w:rPr>
                <w:sz w:val="16"/>
              </w:rPr>
              <w:t>Feature constructor</w:t>
            </w:r>
          </w:p>
        </w:tc>
        <w:tc>
          <w:tcPr>
            <w:tcW w:w="3456" w:type="dxa"/>
            <w:vAlign w:val="center"/>
          </w:tcPr>
          <w:p w14:paraId="7E0B43C8" w14:textId="77777777" w:rsidR="00C7069C" w:rsidRDefault="00000000">
            <w:pPr>
              <w:spacing w:after="0"/>
            </w:pPr>
            <w:r>
              <w:rPr>
                <w:sz w:val="16"/>
              </w:rPr>
              <w:t>Four views + user task + proposed action → structural, semantic, and agreement features</w:t>
            </w:r>
          </w:p>
        </w:tc>
        <w:tc>
          <w:tcPr>
            <w:tcW w:w="3960" w:type="dxa"/>
            <w:vAlign w:val="center"/>
          </w:tcPr>
          <w:p w14:paraId="11344B4B" w14:textId="77777777" w:rsidR="00C7069C" w:rsidRDefault="00000000">
            <w:pPr>
              <w:spacing w:after="0"/>
            </w:pPr>
            <w:r>
              <w:rPr>
                <w:sz w:val="16"/>
              </w:rPr>
              <w:t>Use visibility, instruction-likeness, cross-view agreement, and task/action relevance; avoid a full provenance graph.</w:t>
            </w:r>
          </w:p>
        </w:tc>
      </w:tr>
      <w:tr w:rsidR="00C7069C" w14:paraId="25DB3120" w14:textId="77777777">
        <w:trPr>
          <w:jc w:val="center"/>
        </w:trPr>
        <w:tc>
          <w:tcPr>
            <w:tcW w:w="1944" w:type="dxa"/>
            <w:vAlign w:val="center"/>
          </w:tcPr>
          <w:p w14:paraId="113F3106" w14:textId="77777777" w:rsidR="00C7069C" w:rsidRDefault="00000000">
            <w:pPr>
              <w:spacing w:after="0"/>
            </w:pPr>
            <w:r>
              <w:rPr>
                <w:sz w:val="16"/>
              </w:rPr>
              <w:t>ML consistency gate</w:t>
            </w:r>
          </w:p>
        </w:tc>
        <w:tc>
          <w:tcPr>
            <w:tcW w:w="3456" w:type="dxa"/>
            <w:vAlign w:val="center"/>
          </w:tcPr>
          <w:p w14:paraId="4048624F" w14:textId="77777777" w:rsidR="00C7069C" w:rsidRDefault="00000000">
            <w:pPr>
              <w:spacing w:after="0"/>
            </w:pPr>
            <w:r>
              <w:rPr>
                <w:sz w:val="16"/>
              </w:rPr>
              <w:t>Features → calibrated risk and uncertainty score</w:t>
            </w:r>
          </w:p>
        </w:tc>
        <w:tc>
          <w:tcPr>
            <w:tcW w:w="3960" w:type="dxa"/>
            <w:vAlign w:val="center"/>
          </w:tcPr>
          <w:p w14:paraId="33F05434" w14:textId="77777777" w:rsidR="00C7069C" w:rsidRDefault="00000000">
            <w:pPr>
              <w:spacing w:after="0"/>
            </w:pPr>
            <w:r>
              <w:rPr>
                <w:sz w:val="16"/>
              </w:rPr>
              <w:t>Start with logistic regression / tree + embeddings before any large model; the small model is student-feasible.</w:t>
            </w:r>
          </w:p>
        </w:tc>
      </w:tr>
      <w:tr w:rsidR="00C7069C" w14:paraId="18E205B2" w14:textId="77777777">
        <w:trPr>
          <w:jc w:val="center"/>
        </w:trPr>
        <w:tc>
          <w:tcPr>
            <w:tcW w:w="1944" w:type="dxa"/>
            <w:vAlign w:val="center"/>
          </w:tcPr>
          <w:p w14:paraId="64F8511E" w14:textId="77777777" w:rsidR="00C7069C" w:rsidRDefault="00000000">
            <w:pPr>
              <w:spacing w:after="0"/>
            </w:pPr>
            <w:r>
              <w:rPr>
                <w:sz w:val="16"/>
              </w:rPr>
              <w:t>Action-aware policy</w:t>
            </w:r>
          </w:p>
        </w:tc>
        <w:tc>
          <w:tcPr>
            <w:tcW w:w="3456" w:type="dxa"/>
            <w:vAlign w:val="center"/>
          </w:tcPr>
          <w:p w14:paraId="254CEA74" w14:textId="77777777" w:rsidR="00C7069C" w:rsidRDefault="00000000">
            <w:pPr>
              <w:spacing w:after="0"/>
            </w:pPr>
            <w:r>
              <w:rPr>
                <w:sz w:val="16"/>
              </w:rPr>
              <w:t>Risk + action impact → allow, isolate, or request confirmation</w:t>
            </w:r>
          </w:p>
        </w:tc>
        <w:tc>
          <w:tcPr>
            <w:tcW w:w="3960" w:type="dxa"/>
            <w:vAlign w:val="center"/>
          </w:tcPr>
          <w:p w14:paraId="12CB35F7" w14:textId="77777777" w:rsidR="00C7069C" w:rsidRDefault="00000000">
            <w:pPr>
              <w:spacing w:after="0"/>
            </w:pPr>
            <w:r>
              <w:rPr>
                <w:sz w:val="16"/>
              </w:rPr>
              <w:t>Intervene only for high-impact actions; do not claim universal prevention.</w:t>
            </w:r>
          </w:p>
        </w:tc>
      </w:tr>
      <w:tr w:rsidR="00C7069C" w14:paraId="1DE4B364" w14:textId="77777777">
        <w:trPr>
          <w:jc w:val="center"/>
        </w:trPr>
        <w:tc>
          <w:tcPr>
            <w:tcW w:w="1944" w:type="dxa"/>
            <w:vAlign w:val="center"/>
          </w:tcPr>
          <w:p w14:paraId="320143A6" w14:textId="77777777" w:rsidR="00C7069C" w:rsidRDefault="00000000">
            <w:pPr>
              <w:spacing w:after="0"/>
            </w:pPr>
            <w:r>
              <w:rPr>
                <w:sz w:val="16"/>
              </w:rPr>
              <w:t>Audit/evaluation logger</w:t>
            </w:r>
          </w:p>
        </w:tc>
        <w:tc>
          <w:tcPr>
            <w:tcW w:w="3456" w:type="dxa"/>
            <w:vAlign w:val="center"/>
          </w:tcPr>
          <w:p w14:paraId="758D03CE" w14:textId="77777777" w:rsidR="00C7069C" w:rsidRDefault="00000000">
            <w:pPr>
              <w:spacing w:after="0"/>
            </w:pPr>
            <w:r>
              <w:rPr>
                <w:sz w:val="16"/>
              </w:rPr>
              <w:t>Decision + outcome → privacy-minimised metrics record</w:t>
            </w:r>
          </w:p>
        </w:tc>
        <w:tc>
          <w:tcPr>
            <w:tcW w:w="3960" w:type="dxa"/>
            <w:vAlign w:val="center"/>
          </w:tcPr>
          <w:p w14:paraId="3DD7E122" w14:textId="77777777" w:rsidR="00C7069C" w:rsidRDefault="00000000">
            <w:pPr>
              <w:spacing w:after="0"/>
            </w:pPr>
            <w:r>
              <w:rPr>
                <w:sz w:val="16"/>
              </w:rPr>
              <w:t>Enables ASR, utility, latency, cost, and false-positive analysis.</w:t>
            </w:r>
          </w:p>
        </w:tc>
      </w:tr>
    </w:tbl>
    <w:p w14:paraId="69C2B53A" w14:textId="77777777" w:rsidR="00C7069C" w:rsidRDefault="00000000">
      <w:pPr>
        <w:pStyle w:val="Heading2"/>
      </w:pPr>
      <w:r>
        <w:lastRenderedPageBreak/>
        <w:t>4.1 Planned experimental setup</w:t>
      </w:r>
    </w:p>
    <w:p w14:paraId="6DAF7139" w14:textId="77777777" w:rsidR="00C7069C" w:rsidRDefault="00000000">
      <w:pPr>
        <w:pStyle w:val="ListBullet"/>
        <w:spacing w:after="60" w:line="252" w:lineRule="auto"/>
      </w:pPr>
      <w:r>
        <w:t>Data: AgentDojo, InjecAgent, BIPIA, and WASP where licence/permitted access allows; add a small manually reviewed, representation-aligned web-content set.</w:t>
      </w:r>
    </w:p>
    <w:p w14:paraId="7E977AE9" w14:textId="77777777" w:rsidR="00C7069C" w:rsidRDefault="00000000">
      <w:pPr>
        <w:pStyle w:val="ListBullet"/>
        <w:spacing w:after="60" w:line="252" w:lineRule="auto"/>
      </w:pPr>
      <w:r>
        <w:t>Split: group by base webpage/template and attack family so near-duplicate strings do not leak across train and test.</w:t>
      </w:r>
    </w:p>
    <w:p w14:paraId="1453295E" w14:textId="77777777" w:rsidR="00C7069C" w:rsidRDefault="00000000">
      <w:pPr>
        <w:pStyle w:val="ListBullet"/>
        <w:spacing w:after="60" w:line="252" w:lineRule="auto"/>
      </w:pPr>
      <w:r>
        <w:t>Baselines: no gate; single-view text detector; a permitted guard-model baseline; proposed cross-representation gate.</w:t>
      </w:r>
    </w:p>
    <w:p w14:paraId="5566C434" w14:textId="77777777" w:rsidR="00C7069C" w:rsidRDefault="00000000">
      <w:pPr>
        <w:pStyle w:val="ListBullet"/>
        <w:spacing w:after="60" w:line="252" w:lineRule="auto"/>
      </w:pPr>
      <w:r>
        <w:t>Metrics: attack success rate, unsafe high-impact action rate, benign task success, precision/recall/F1 or AUROC, false-positive rate on benign imperative content, latency, and estimated request cost.</w:t>
      </w:r>
    </w:p>
    <w:p w14:paraId="6281DC8D" w14:textId="77777777" w:rsidR="00C7069C" w:rsidRDefault="00000000">
      <w:pPr>
        <w:pStyle w:val="ListBullet"/>
        <w:spacing w:after="60" w:line="252" w:lineRule="auto"/>
      </w:pPr>
      <w:r>
        <w:t>Ablations: remove each representation; remove task/action features; replace calibrated gate with threshold-only policy; test direct, indirect, hidden, accessibility, visual, obfuscated, and benign conditions.</w:t>
      </w:r>
    </w:p>
    <w:p w14:paraId="425D8998" w14:textId="2E6E143B" w:rsidR="00C7069C" w:rsidRDefault="00000000" w:rsidP="00EC1D77">
      <w:pPr>
        <w:pStyle w:val="ListBullet"/>
        <w:spacing w:after="60" w:line="252" w:lineRule="auto"/>
      </w:pPr>
      <w:r>
        <w:t>Hardware: local GPU/cloud notebook for feature and baseline runs; no foundation-model training is required for the first prototype.</w:t>
      </w:r>
    </w:p>
    <w:p w14:paraId="19746430" w14:textId="77777777" w:rsidR="00C7069C" w:rsidRDefault="00000000">
      <w:pPr>
        <w:pStyle w:val="Heading1"/>
      </w:pPr>
      <w:r>
        <w:t>6. Contribution matrix</w:t>
      </w:r>
    </w:p>
    <w:tbl>
      <w:tblPr>
        <w:tblW w:w="0" w:type="auto"/>
        <w:jc w:val="cente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Layout w:type="fixed"/>
        <w:tblLook w:val="04A0" w:firstRow="1" w:lastRow="0" w:firstColumn="1" w:lastColumn="0" w:noHBand="0" w:noVBand="1"/>
      </w:tblPr>
      <w:tblGrid>
        <w:gridCol w:w="1872"/>
        <w:gridCol w:w="6048"/>
        <w:gridCol w:w="1440"/>
      </w:tblGrid>
      <w:tr w:rsidR="00C7069C" w14:paraId="4916A1CB" w14:textId="77777777">
        <w:trPr>
          <w:tblHeader/>
          <w:jc w:val="center"/>
        </w:trPr>
        <w:tc>
          <w:tcPr>
            <w:tcW w:w="1872" w:type="dxa"/>
            <w:shd w:val="clear" w:color="auto" w:fill="E8EEF5"/>
            <w:vAlign w:val="center"/>
          </w:tcPr>
          <w:p w14:paraId="2134425B" w14:textId="77777777" w:rsidR="00C7069C" w:rsidRDefault="00000000">
            <w:pPr>
              <w:spacing w:after="0"/>
            </w:pPr>
            <w:r>
              <w:rPr>
                <w:b/>
                <w:sz w:val="17"/>
              </w:rPr>
              <w:t>Member</w:t>
            </w:r>
          </w:p>
        </w:tc>
        <w:tc>
          <w:tcPr>
            <w:tcW w:w="6048" w:type="dxa"/>
            <w:shd w:val="clear" w:color="auto" w:fill="E8EEF5"/>
            <w:vAlign w:val="center"/>
          </w:tcPr>
          <w:p w14:paraId="6CE26A62" w14:textId="77777777" w:rsidR="00C7069C" w:rsidRDefault="00000000">
            <w:pPr>
              <w:spacing w:after="0"/>
            </w:pPr>
            <w:r>
              <w:rPr>
                <w:b/>
                <w:sz w:val="17"/>
              </w:rPr>
              <w:t>Planned responsibility</w:t>
            </w:r>
          </w:p>
        </w:tc>
        <w:tc>
          <w:tcPr>
            <w:tcW w:w="1440" w:type="dxa"/>
            <w:shd w:val="clear" w:color="auto" w:fill="E8EEF5"/>
            <w:vAlign w:val="center"/>
          </w:tcPr>
          <w:p w14:paraId="45181CD3" w14:textId="77777777" w:rsidR="00C7069C" w:rsidRDefault="00000000">
            <w:pPr>
              <w:spacing w:after="0"/>
            </w:pPr>
            <w:r>
              <w:rPr>
                <w:b/>
                <w:sz w:val="17"/>
              </w:rPr>
              <w:t>Effort</w:t>
            </w:r>
          </w:p>
        </w:tc>
      </w:tr>
      <w:tr w:rsidR="00C7069C" w14:paraId="18210249" w14:textId="77777777">
        <w:trPr>
          <w:jc w:val="center"/>
        </w:trPr>
        <w:tc>
          <w:tcPr>
            <w:tcW w:w="1872" w:type="dxa"/>
            <w:vAlign w:val="center"/>
          </w:tcPr>
          <w:p w14:paraId="0449CC1B" w14:textId="21D0FD10" w:rsidR="00C7069C" w:rsidRDefault="00EC1D77">
            <w:pPr>
              <w:spacing w:after="0"/>
            </w:pPr>
            <w:r>
              <w:rPr>
                <w:sz w:val="17"/>
              </w:rPr>
              <w:t>Saumya</w:t>
            </w:r>
          </w:p>
        </w:tc>
        <w:tc>
          <w:tcPr>
            <w:tcW w:w="6048" w:type="dxa"/>
            <w:vAlign w:val="center"/>
          </w:tcPr>
          <w:p w14:paraId="1E27D5BE" w14:textId="77777777" w:rsidR="00C7069C" w:rsidRDefault="00000000">
            <w:pPr>
              <w:spacing w:after="0"/>
            </w:pPr>
            <w:r>
              <w:rPr>
                <w:sz w:val="17"/>
              </w:rPr>
              <w:t>Literature corpus, source verification, DA-1 report</w:t>
            </w:r>
          </w:p>
        </w:tc>
        <w:tc>
          <w:tcPr>
            <w:tcW w:w="1440" w:type="dxa"/>
            <w:vAlign w:val="center"/>
          </w:tcPr>
          <w:p w14:paraId="793F9AC2" w14:textId="67E2204E" w:rsidR="00C7069C" w:rsidRDefault="00EC1D77">
            <w:pPr>
              <w:spacing w:after="0"/>
            </w:pPr>
            <w:r>
              <w:rPr>
                <w:sz w:val="17"/>
              </w:rPr>
              <w:t>50%</w:t>
            </w:r>
          </w:p>
        </w:tc>
      </w:tr>
      <w:tr w:rsidR="00C7069C" w14:paraId="081C8727" w14:textId="77777777">
        <w:trPr>
          <w:jc w:val="center"/>
        </w:trPr>
        <w:tc>
          <w:tcPr>
            <w:tcW w:w="1872" w:type="dxa"/>
            <w:vAlign w:val="center"/>
          </w:tcPr>
          <w:p w14:paraId="45615D19" w14:textId="2893A4C4" w:rsidR="00C7069C" w:rsidRDefault="00EC1D77">
            <w:pPr>
              <w:spacing w:after="0"/>
            </w:pPr>
            <w:r>
              <w:rPr>
                <w:sz w:val="17"/>
              </w:rPr>
              <w:t>Rishabh Tripathi</w:t>
            </w:r>
          </w:p>
        </w:tc>
        <w:tc>
          <w:tcPr>
            <w:tcW w:w="6048" w:type="dxa"/>
            <w:vAlign w:val="center"/>
          </w:tcPr>
          <w:p w14:paraId="433D52DC" w14:textId="77777777" w:rsidR="00C7069C" w:rsidRDefault="00000000">
            <w:pPr>
              <w:spacing w:after="0"/>
            </w:pPr>
            <w:r>
              <w:rPr>
                <w:sz w:val="17"/>
              </w:rPr>
              <w:t>Benchmark/data audit, architecture, feasibility plan</w:t>
            </w:r>
          </w:p>
        </w:tc>
        <w:tc>
          <w:tcPr>
            <w:tcW w:w="1440" w:type="dxa"/>
            <w:vAlign w:val="center"/>
          </w:tcPr>
          <w:p w14:paraId="22A0A667" w14:textId="268C1A85" w:rsidR="00C7069C" w:rsidRDefault="00EC1D77">
            <w:pPr>
              <w:spacing w:after="0"/>
            </w:pPr>
            <w:r>
              <w:rPr>
                <w:sz w:val="17"/>
              </w:rPr>
              <w:t>50%</w:t>
            </w:r>
          </w:p>
        </w:tc>
      </w:tr>
    </w:tbl>
    <w:p w14:paraId="00600C7D" w14:textId="500AE52A" w:rsidR="00C7069C" w:rsidRDefault="00C7069C"/>
    <w:p w14:paraId="7FCBB959" w14:textId="77777777" w:rsidR="00C7069C" w:rsidRDefault="00000000">
      <w:pPr>
        <w:pStyle w:val="Heading1"/>
      </w:pPr>
      <w:r>
        <w:t>References</w:t>
      </w:r>
    </w:p>
    <w:p w14:paraId="45929666" w14:textId="77777777" w:rsidR="00C7069C" w:rsidRDefault="00000000">
      <w:pPr>
        <w:spacing w:after="60" w:line="240" w:lineRule="auto"/>
        <w:ind w:left="360" w:hanging="360"/>
      </w:pPr>
      <w:r>
        <w:rPr>
          <w:sz w:val="17"/>
        </w:rPr>
        <w:t>[1] Y. Liu et al., ‘Formalizing and Benchmarking Prompt Injection Attacks and Defenses,’ 33rd USENIX Security Symposium, 2024.</w:t>
      </w:r>
    </w:p>
    <w:p w14:paraId="23A0B414" w14:textId="77777777" w:rsidR="00C7069C" w:rsidRDefault="00000000">
      <w:pPr>
        <w:spacing w:after="60" w:line="240" w:lineRule="auto"/>
        <w:ind w:left="360" w:hanging="360"/>
      </w:pPr>
      <w:r>
        <w:rPr>
          <w:sz w:val="17"/>
        </w:rPr>
        <w:t>[2] Q. Zhan, Z. Liang, Z. Ying, and D. Kang, ‘InjecAgent: Benchmarking Indirect Prompt Injections in Tool-Integrated Large Language Model Agents,’ Findings of ACL, 2024.</w:t>
      </w:r>
    </w:p>
    <w:p w14:paraId="672921C1" w14:textId="77777777" w:rsidR="00C7069C" w:rsidRDefault="00000000">
      <w:pPr>
        <w:spacing w:after="60" w:line="240" w:lineRule="auto"/>
        <w:ind w:left="360" w:hanging="360"/>
      </w:pPr>
      <w:r>
        <w:rPr>
          <w:sz w:val="17"/>
        </w:rPr>
        <w:t>[3] E. Debenedetti et al., ‘AgentDojo: A Dynamic Environment to Evaluate Prompt Injection Attacks and Defenses for LLM Agents,’ NeurIPS Datasets and Benchmarks, 2024.</w:t>
      </w:r>
    </w:p>
    <w:p w14:paraId="3000D5B0" w14:textId="77777777" w:rsidR="00C7069C" w:rsidRDefault="00000000">
      <w:pPr>
        <w:spacing w:after="60" w:line="240" w:lineRule="auto"/>
        <w:ind w:left="360" w:hanging="360"/>
      </w:pPr>
      <w:r>
        <w:rPr>
          <w:sz w:val="17"/>
        </w:rPr>
        <w:t>[4] Z. Li, B. Peng, P. He, and X. Yan, ‘Evaluating the Instruction-Following Robustness of Large Language Models to Prompt Injection,’ EMNLP, 2024.</w:t>
      </w:r>
    </w:p>
    <w:p w14:paraId="2B127BFC" w14:textId="77777777" w:rsidR="00C7069C" w:rsidRDefault="00000000">
      <w:pPr>
        <w:spacing w:after="60" w:line="240" w:lineRule="auto"/>
        <w:ind w:left="360" w:hanging="360"/>
      </w:pPr>
      <w:r>
        <w:rPr>
          <w:sz w:val="17"/>
        </w:rPr>
        <w:t>[5] A. V. Miceli Barone and Z. Sun, ‘A Test Suite of Prompt Injection Attacks for LLM-based Machine Translation,’ WMT, 2024.</w:t>
      </w:r>
    </w:p>
    <w:p w14:paraId="7F2B2B1D" w14:textId="77777777" w:rsidR="00C7069C" w:rsidRDefault="00000000">
      <w:pPr>
        <w:spacing w:after="60" w:line="240" w:lineRule="auto"/>
        <w:ind w:left="360" w:hanging="360"/>
      </w:pPr>
      <w:r>
        <w:rPr>
          <w:sz w:val="17"/>
        </w:rPr>
        <w:t>[6] F. Jia, T. Wu, X. Qin, and A. Squicciarini, ‘The Task Shield: Enforcing Task Alignment to Defend Against Indirect Prompt Injection in LLM Agents,’ ACL, 2025.</w:t>
      </w:r>
    </w:p>
    <w:p w14:paraId="3621FD0F" w14:textId="77777777" w:rsidR="00C7069C" w:rsidRDefault="00000000">
      <w:pPr>
        <w:spacing w:after="60" w:line="240" w:lineRule="auto"/>
        <w:ind w:left="360" w:hanging="360"/>
      </w:pPr>
      <w:r>
        <w:rPr>
          <w:sz w:val="17"/>
        </w:rPr>
        <w:t>[7] S. Chen, J. Piet, C. Sitawarin, and D. Wagner, ‘StruQ: Defending Against Prompt Injection with Structured Queries,’ USENIX Security, 2025.</w:t>
      </w:r>
    </w:p>
    <w:p w14:paraId="50F5F64D" w14:textId="77777777" w:rsidR="00C7069C" w:rsidRDefault="00000000">
      <w:pPr>
        <w:spacing w:after="60" w:line="240" w:lineRule="auto"/>
        <w:ind w:left="360" w:hanging="360"/>
      </w:pPr>
      <w:r>
        <w:rPr>
          <w:sz w:val="17"/>
        </w:rPr>
        <w:t>[8] Y. Chen et al., ‘Can Indirect Prompt Injection Attacks Be Detected and Removed?,’ ACL, 2025.</w:t>
      </w:r>
    </w:p>
    <w:p w14:paraId="06F6B740" w14:textId="77777777" w:rsidR="00C7069C" w:rsidRDefault="00000000">
      <w:pPr>
        <w:spacing w:after="60" w:line="240" w:lineRule="auto"/>
        <w:ind w:left="360" w:hanging="360"/>
      </w:pPr>
      <w:r>
        <w:rPr>
          <w:sz w:val="17"/>
        </w:rPr>
        <w:t>[9] T. Wen et al., ‘Defending against Indirect Prompt Injection by Instruction Detection,’ Findings of EMNLP, 2025.</w:t>
      </w:r>
    </w:p>
    <w:p w14:paraId="41E0CC78" w14:textId="77777777" w:rsidR="00C7069C" w:rsidRDefault="00000000">
      <w:pPr>
        <w:spacing w:after="60" w:line="240" w:lineRule="auto"/>
        <w:ind w:left="360" w:hanging="360"/>
      </w:pPr>
      <w:r>
        <w:rPr>
          <w:sz w:val="17"/>
        </w:rPr>
        <w:t>[10] Y. Chen et al., ‘Defense Against Prompt Injection Attack by Leveraging Attack Techniques,’ ACL, 2025.</w:t>
      </w:r>
    </w:p>
    <w:p w14:paraId="6810F69A" w14:textId="77777777" w:rsidR="00C7069C" w:rsidRDefault="00000000">
      <w:pPr>
        <w:spacing w:after="60" w:line="240" w:lineRule="auto"/>
        <w:ind w:left="360" w:hanging="360"/>
      </w:pPr>
      <w:r>
        <w:rPr>
          <w:sz w:val="17"/>
        </w:rPr>
        <w:t>[11] Y. Liu et al., ‘LLMSmith: Scalable Black-Box Testing for LLM Agents,’ ACM CCS, 2024.</w:t>
      </w:r>
    </w:p>
    <w:p w14:paraId="6DD15812" w14:textId="77777777" w:rsidR="00C7069C" w:rsidRDefault="00000000">
      <w:pPr>
        <w:spacing w:after="60" w:line="240" w:lineRule="auto"/>
        <w:ind w:left="360" w:hanging="360"/>
      </w:pPr>
      <w:r>
        <w:rPr>
          <w:sz w:val="17"/>
        </w:rPr>
        <w:t>[12] I. Evtimov et al., ‘WASP: Benchmarking Web Agent Security Against Prompt Injection Attacks,’ NeurIPS Datasets and Benchmarks, 2025.</w:t>
      </w:r>
    </w:p>
    <w:p w14:paraId="132C9A7C" w14:textId="77777777" w:rsidR="00C7069C" w:rsidRDefault="00000000">
      <w:pPr>
        <w:spacing w:after="60" w:line="240" w:lineRule="auto"/>
        <w:ind w:left="360" w:hanging="360"/>
      </w:pPr>
      <w:r>
        <w:rPr>
          <w:sz w:val="17"/>
        </w:rPr>
        <w:t>[13] H. Li et al., ‘DRIFT: Dynamic Rule-Based Defense with Injection Isolation for Securing LLM Agents,’ NeurIPS, 2025.</w:t>
      </w:r>
    </w:p>
    <w:p w14:paraId="312F48E9" w14:textId="77777777" w:rsidR="00C7069C" w:rsidRDefault="00000000">
      <w:pPr>
        <w:spacing w:after="60" w:line="240" w:lineRule="auto"/>
        <w:ind w:left="360" w:hanging="360"/>
      </w:pPr>
      <w:r>
        <w:rPr>
          <w:sz w:val="17"/>
        </w:rPr>
        <w:t>[14] J. Yi et al., ‘Benchmarking and Defending Against Indirect Prompt Injection Attacks on Large Language Models,’ KDD, 2025.</w:t>
      </w:r>
    </w:p>
    <w:p w14:paraId="7E0CDF84" w14:textId="77777777" w:rsidR="00C7069C" w:rsidRDefault="00000000">
      <w:pPr>
        <w:spacing w:after="60" w:line="240" w:lineRule="auto"/>
        <w:ind w:left="360" w:hanging="360"/>
      </w:pPr>
      <w:r>
        <w:rPr>
          <w:sz w:val="17"/>
        </w:rPr>
        <w:t>[15] C. Yin et al., ‘PIArena: A Platform for Prompt Injection Evaluation,’ ACL, 2026.</w:t>
      </w:r>
    </w:p>
    <w:p w14:paraId="4EE7D917" w14:textId="77777777" w:rsidR="00C7069C" w:rsidRDefault="00000000">
      <w:pPr>
        <w:spacing w:after="60" w:line="240" w:lineRule="auto"/>
        <w:ind w:left="360" w:hanging="360"/>
      </w:pPr>
      <w:r>
        <w:rPr>
          <w:sz w:val="17"/>
        </w:rPr>
        <w:t>[16] NIST, ‘Strengthening AI Agent Hijacking Evaluations,’ 2025. https://www.nist.gov/news-events/news/2025/01/technical-blog-strengthening-ai-agent-hijacking-evaluations</w:t>
      </w:r>
    </w:p>
    <w:sectPr w:rsidR="00C7069C" w:rsidSect="00034616">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EDE80" w14:textId="77777777" w:rsidR="004A1A85" w:rsidRDefault="004A1A85">
      <w:pPr>
        <w:spacing w:after="0" w:line="240" w:lineRule="auto"/>
      </w:pPr>
      <w:r>
        <w:separator/>
      </w:r>
    </w:p>
  </w:endnote>
  <w:endnote w:type="continuationSeparator" w:id="0">
    <w:p w14:paraId="6494CADE" w14:textId="77777777" w:rsidR="004A1A85" w:rsidRDefault="004A1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082AD" w14:textId="77777777" w:rsidR="004A1A85" w:rsidRDefault="004A1A85">
      <w:pPr>
        <w:spacing w:after="0" w:line="240" w:lineRule="auto"/>
      </w:pPr>
      <w:r>
        <w:separator/>
      </w:r>
    </w:p>
  </w:footnote>
  <w:footnote w:type="continuationSeparator" w:id="0">
    <w:p w14:paraId="3995D963" w14:textId="77777777" w:rsidR="004A1A85" w:rsidRDefault="004A1A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5721" w14:textId="1828EBAC" w:rsidR="00C7069C" w:rsidRDefault="00C7069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7549888">
    <w:abstractNumId w:val="8"/>
  </w:num>
  <w:num w:numId="2" w16cid:durableId="597567942">
    <w:abstractNumId w:val="6"/>
  </w:num>
  <w:num w:numId="3" w16cid:durableId="671570277">
    <w:abstractNumId w:val="5"/>
  </w:num>
  <w:num w:numId="4" w16cid:durableId="842933973">
    <w:abstractNumId w:val="4"/>
  </w:num>
  <w:num w:numId="5" w16cid:durableId="199441216">
    <w:abstractNumId w:val="7"/>
  </w:num>
  <w:num w:numId="6" w16cid:durableId="338696614">
    <w:abstractNumId w:val="3"/>
  </w:num>
  <w:num w:numId="7" w16cid:durableId="1339893175">
    <w:abstractNumId w:val="2"/>
  </w:num>
  <w:num w:numId="8" w16cid:durableId="1436243526">
    <w:abstractNumId w:val="1"/>
  </w:num>
  <w:num w:numId="9" w16cid:durableId="876089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D77"/>
    <w:rsid w:val="0015074B"/>
    <w:rsid w:val="0029639D"/>
    <w:rsid w:val="002B170A"/>
    <w:rsid w:val="00326F90"/>
    <w:rsid w:val="004A1A85"/>
    <w:rsid w:val="005502BA"/>
    <w:rsid w:val="00AA1D8D"/>
    <w:rsid w:val="00B47730"/>
    <w:rsid w:val="00C7069C"/>
    <w:rsid w:val="00CB0664"/>
    <w:rsid w:val="00EC1D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0CAA7"/>
  <w14:defaultImageDpi w14:val="300"/>
  <w15:docId w15:val="{F83D1D5A-2939-4D56-A28E-F459DC836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1517</Words>
  <Characters>8647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Rishabh Jitendra Tripathi</cp:lastModifiedBy>
  <cp:revision>2</cp:revision>
  <dcterms:created xsi:type="dcterms:W3CDTF">2026-08-05T13:29:00Z</dcterms:created>
  <dcterms:modified xsi:type="dcterms:W3CDTF">2026-08-05T13:29:00Z</dcterms:modified>
  <cp:category/>
</cp:coreProperties>
</file>