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A73B1">
      <w:pPr>
        <w:spacing w:before="1440" w:after="240"/>
        <w:jc w:val="center"/>
        <w:rPr>
          <w:rFonts w:ascii="Arial" w:hAnsi="Arial" w:eastAsia="Arial" w:cs="Arial"/>
          <w:b/>
          <w:bCs/>
          <w:color w:val="1F3A6E"/>
          <w:sz w:val="72"/>
          <w:szCs w:val="72"/>
        </w:rPr>
      </w:pPr>
      <w:r>
        <w:rPr>
          <w:rFonts w:ascii="Arial" w:hAnsi="Arial" w:eastAsia="Arial" w:cs="Arial"/>
          <w:b/>
          <w:bCs/>
          <w:color w:val="1F3A6E"/>
          <w:sz w:val="72"/>
          <w:szCs w:val="72"/>
        </w:rPr>
        <w:t>AccessScan</w:t>
      </w:r>
    </w:p>
    <w:p w14:paraId="13302532">
      <w:pPr>
        <w:spacing w:before="1440" w:after="240"/>
        <w:jc w:val="both"/>
        <w:rPr>
          <w:rFonts w:ascii="Arial" w:hAnsi="Arial" w:eastAsia="Arial" w:cs="Arial"/>
          <w:b/>
          <w:bCs/>
          <w:color w:val="1F3A6E"/>
          <w:sz w:val="72"/>
          <w:szCs w:val="72"/>
        </w:rPr>
      </w:pPr>
    </w:p>
    <w:p w14:paraId="5D890BAD">
      <w:pPr>
        <w:spacing w:before="0" w:after="480"/>
        <w:jc w:val="center"/>
        <w:rPr>
          <w:rFonts w:hint="default" w:ascii="Arial" w:hAnsi="Arial" w:eastAsia="Arial" w:cs="Arial"/>
          <w:b/>
          <w:bCs/>
          <w:color w:val="2196F3"/>
          <w:sz w:val="36"/>
          <w:szCs w:val="36"/>
          <w:lang w:val="en-US" w:eastAsia="zh-CN"/>
        </w:rPr>
      </w:pPr>
      <w:r>
        <w:rPr>
          <w:rFonts w:hint="eastAsia" w:ascii="Arial" w:hAnsi="Arial" w:eastAsia="Arial" w:cs="Arial"/>
          <w:b/>
          <w:bCs/>
          <w:color w:val="2196F3"/>
          <w:sz w:val="36"/>
          <w:szCs w:val="36"/>
          <w:lang w:val="en-US" w:eastAsia="zh-CN"/>
        </w:rPr>
        <w:t>Technical Limitations</w:t>
      </w:r>
    </w:p>
    <w:p w14:paraId="6EDA4BBD">
      <w:pPr>
        <w:pBdr>
          <w:top w:val="single" w:color="2196F3" w:sz="4" w:space="1"/>
        </w:pBdr>
        <w:spacing w:before="0" w:after="120"/>
        <w:jc w:val="center"/>
      </w:pPr>
    </w:p>
    <w:p w14:paraId="495E05FE">
      <w:pPr>
        <w:spacing w:before="120" w:after="60"/>
        <w:jc w:val="center"/>
      </w:pPr>
      <w:r>
        <w:rPr>
          <w:rFonts w:ascii="Arial" w:hAnsi="Arial" w:eastAsia="Arial" w:cs="Arial"/>
          <w:color w:val="666666"/>
          <w:sz w:val="24"/>
          <w:szCs w:val="24"/>
        </w:rPr>
        <w:t>La Trobe University  ×  DITRDCA</w:t>
      </w:r>
    </w:p>
    <w:p w14:paraId="74F21355">
      <w:r>
        <w:br w:type="page"/>
      </w:r>
    </w:p>
    <w:p w14:paraId="6B8A6D8E">
      <w:pPr>
        <w:numPr>
          <w:ilvl w:val="0"/>
          <w:numId w:val="1"/>
        </w:numPr>
        <w:rPr>
          <w:rFonts w:hint="default" w:ascii="Arial" w:hAnsi="Arial" w:eastAsia="Arial" w:cs="Arial"/>
          <w:b/>
          <w:bCs/>
          <w:color w:val="1F3A6E"/>
          <w:sz w:val="32"/>
          <w:szCs w:val="32"/>
          <w:lang w:val="en-US" w:eastAsia="zh-CN"/>
        </w:rPr>
      </w:pPr>
      <w:r>
        <w:rPr>
          <w:rFonts w:hint="eastAsia" w:ascii="Arial" w:hAnsi="Arial" w:eastAsia="Arial" w:cs="Arial"/>
          <w:b/>
          <w:bCs/>
          <w:color w:val="1F3A6E"/>
          <w:sz w:val="32"/>
          <w:szCs w:val="32"/>
          <w:lang w:val="en-US" w:eastAsia="zh-CN"/>
        </w:rPr>
        <w:t>Relative Depth Estimation Accuracy</w:t>
      </w:r>
    </w:p>
    <w:p w14:paraId="4E339D7F">
      <w:pPr>
        <w:spacing w:before="80" w:after="100"/>
        <w:jc w:val="both"/>
        <w:rPr>
          <w:rFonts w:ascii="Arial" w:hAnsi="Arial" w:eastAsia="Arial" w:cs="Arial"/>
          <w:sz w:val="22"/>
          <w:szCs w:val="22"/>
        </w:rPr>
      </w:pPr>
      <w:r>
        <w:rPr>
          <w:rFonts w:ascii="Arial" w:hAnsi="Arial" w:eastAsia="Arial" w:cs="Arial"/>
          <w:sz w:val="22"/>
          <w:szCs w:val="22"/>
        </w:rPr>
        <w:t>Although AccessScan successfully demonstrates the feasibility of automated accessibility auditing through computer vision and DSAPT-based compliance assessment, the current implementation remains a Technology Readiness Level 3 (TRL 3) Proof of Concept and is subject to several technical limitations. These limitations affect the system’s accuracy, scalability, security, maintainability, and suitability for real-world deployment.</w:t>
      </w:r>
    </w:p>
    <w:p w14:paraId="2F71F687">
      <w:pPr>
        <w:widowControl w:val="0"/>
        <w:numPr>
          <w:numId w:val="0"/>
        </w:numPr>
        <w:jc w:val="both"/>
        <w:rPr>
          <w:rFonts w:hint="default" w:cs="Arial"/>
          <w:b/>
          <w:bCs/>
          <w:color w:val="1F3A6E"/>
          <w:sz w:val="32"/>
          <w:szCs w:val="32"/>
          <w:lang w:val="en-US" w:eastAsia="zh-CN"/>
        </w:rPr>
      </w:pPr>
    </w:p>
    <w:p w14:paraId="0ECB255B">
      <w:pPr>
        <w:numPr>
          <w:ilvl w:val="0"/>
          <w:numId w:val="1"/>
        </w:numPr>
        <w:rPr>
          <w:rFonts w:hint="default" w:ascii="Arial" w:hAnsi="Arial" w:eastAsia="Arial" w:cs="Arial"/>
          <w:b/>
          <w:bCs/>
          <w:color w:val="1F3A6E"/>
          <w:sz w:val="32"/>
          <w:szCs w:val="32"/>
          <w:lang w:val="en-US" w:eastAsia="zh-CN"/>
        </w:rPr>
      </w:pPr>
      <w:r>
        <w:rPr>
          <w:rFonts w:hint="eastAsia" w:ascii="Arial" w:hAnsi="Arial" w:eastAsia="Arial" w:cs="Arial"/>
          <w:b/>
          <w:bCs/>
          <w:color w:val="1F3A6E"/>
          <w:sz w:val="32"/>
          <w:szCs w:val="32"/>
          <w:lang w:val="en-US" w:eastAsia="zh-CN"/>
        </w:rPr>
        <w:t>Dependence on Single-Image Analysis</w:t>
      </w:r>
    </w:p>
    <w:p w14:paraId="0434D02B">
      <w:pPr>
        <w:pStyle w:val="5"/>
        <w:keepNext w:val="0"/>
        <w:keepLines w:val="0"/>
        <w:widowControl/>
        <w:suppressLineNumbers w:val="0"/>
        <w:jc w:val="both"/>
        <w:rPr>
          <w:rFonts w:ascii="Arial" w:hAnsi="Arial" w:eastAsia="Arial" w:cs="Arial"/>
          <w:kern w:val="0"/>
          <w:sz w:val="22"/>
          <w:szCs w:val="22"/>
          <w:lang/>
        </w:rPr>
      </w:pPr>
      <w:r>
        <w:rPr>
          <w:rFonts w:ascii="Arial" w:hAnsi="Arial" w:eastAsia="Arial" w:cs="Arial"/>
          <w:kern w:val="0"/>
          <w:sz w:val="22"/>
          <w:szCs w:val="22"/>
          <w:lang/>
        </w:rPr>
        <w:t xml:space="preserve">The current version of AccessScan performs compliance assessment using only a single uploaded image. Although this simplifies user interaction and reduces processing complexity, it also limits the amount of contextual information available to the system. Important accessibility features may be outside the camera frame, partially obscured, or hidden behind temporary objects such as vehicles, signage, or pedestrians. </w:t>
      </w:r>
    </w:p>
    <w:p w14:paraId="1DAFF35D">
      <w:pPr>
        <w:pStyle w:val="5"/>
        <w:keepNext w:val="0"/>
        <w:keepLines w:val="0"/>
        <w:widowControl/>
        <w:suppressLineNumbers w:val="0"/>
        <w:jc w:val="both"/>
        <w:rPr>
          <w:rFonts w:ascii="Arial" w:hAnsi="Arial" w:eastAsia="Arial" w:cs="Arial"/>
          <w:kern w:val="0"/>
          <w:sz w:val="22"/>
          <w:szCs w:val="22"/>
          <w:lang/>
        </w:rPr>
      </w:pPr>
      <w:r>
        <w:rPr>
          <w:rFonts w:ascii="Arial" w:hAnsi="Arial" w:eastAsia="Arial" w:cs="Arial"/>
          <w:kern w:val="0"/>
          <w:sz w:val="22"/>
          <w:szCs w:val="22"/>
          <w:lang/>
        </w:rPr>
        <w:t>Consequently, the generated compliance report may not fully represent the accessibility condition of an entire transport facility. Future development should support multiple-image submissions, panoramic analysis, or video-based assessment to improve coverage and reliability.</w:t>
      </w:r>
    </w:p>
    <w:p w14:paraId="6EDB7115">
      <w:pPr>
        <w:widowControl w:val="0"/>
        <w:numPr>
          <w:numId w:val="0"/>
        </w:numPr>
        <w:jc w:val="both"/>
        <w:rPr>
          <w:rFonts w:hint="default" w:ascii="Arial" w:hAnsi="Arial" w:eastAsia="Arial" w:cs="Arial"/>
          <w:b/>
          <w:bCs/>
          <w:color w:val="1F3A6E"/>
          <w:sz w:val="32"/>
          <w:szCs w:val="32"/>
          <w:lang w:val="en-US" w:eastAsia="zh-CN"/>
        </w:rPr>
      </w:pPr>
    </w:p>
    <w:p w14:paraId="5BAA533E">
      <w:pPr>
        <w:numPr>
          <w:ilvl w:val="0"/>
          <w:numId w:val="1"/>
        </w:numPr>
        <w:rPr>
          <w:rFonts w:hint="default" w:ascii="Arial" w:hAnsi="Arial" w:eastAsia="Arial" w:cs="Arial"/>
          <w:b/>
          <w:bCs/>
          <w:color w:val="1F3A6E"/>
          <w:sz w:val="32"/>
          <w:szCs w:val="32"/>
          <w:lang w:val="en-US" w:eastAsia="zh-CN"/>
        </w:rPr>
      </w:pPr>
      <w:r>
        <w:rPr>
          <w:rFonts w:hint="eastAsia" w:ascii="Arial" w:hAnsi="Arial" w:eastAsia="Arial" w:cs="Arial"/>
          <w:b/>
          <w:bCs/>
          <w:color w:val="1F3A6E"/>
          <w:sz w:val="32"/>
          <w:szCs w:val="32"/>
          <w:lang w:val="en-US" w:eastAsia="zh-CN"/>
        </w:rPr>
        <w:t>Limited Training Dataset</w:t>
      </w:r>
    </w:p>
    <w:p w14:paraId="6F947B12">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 xml:space="preserve">The object detection model has been fine-tuned on a relatively small dataset containing nine accessibility-related feature classes. While this dataset is sufficient for demonstrating Proof-of-Concept functionality, it does not encompass the full diversity of Australian public transport infrastructure. Detection performance may therefore degrade when analysing unfamiliar station layouts, lighting conditions, weather environments, or infrastructure designs. </w:t>
      </w:r>
    </w:p>
    <w:p w14:paraId="51437D71">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Furthermore, rare accessibility features may be underrepresented within the training data, introducing potential class imbalance issues that affect detection reliability. Additional data collection and augmentation strategies will be required before large-scale deployment.</w:t>
      </w:r>
    </w:p>
    <w:p w14:paraId="7D59B23E">
      <w:pPr>
        <w:pStyle w:val="5"/>
        <w:keepNext w:val="0"/>
        <w:keepLines w:val="0"/>
        <w:widowControl/>
        <w:suppressLineNumbers w:val="0"/>
        <w:jc w:val="left"/>
        <w:rPr>
          <w:rFonts w:ascii="Arial" w:hAnsi="Arial" w:eastAsia="Arial" w:cs="Arial"/>
          <w:kern w:val="0"/>
          <w:sz w:val="22"/>
          <w:szCs w:val="22"/>
        </w:rPr>
      </w:pPr>
    </w:p>
    <w:p w14:paraId="28E2238E">
      <w:pPr>
        <w:numPr>
          <w:ilvl w:val="0"/>
          <w:numId w:val="1"/>
        </w:numPr>
        <w:rPr>
          <w:rFonts w:hint="default" w:ascii="Arial" w:hAnsi="Arial" w:eastAsia="Arial" w:cs="Arial"/>
          <w:b/>
          <w:bCs/>
          <w:color w:val="1F3A6E"/>
          <w:sz w:val="32"/>
          <w:szCs w:val="32"/>
          <w:lang w:val="en-US" w:eastAsia="zh-CN"/>
        </w:rPr>
      </w:pPr>
      <w:r>
        <w:rPr>
          <w:rFonts w:hint="eastAsia" w:ascii="Arial" w:hAnsi="Arial" w:eastAsia="Arial" w:cs="Arial"/>
          <w:b/>
          <w:bCs/>
          <w:color w:val="1F3A6E"/>
          <w:sz w:val="32"/>
          <w:szCs w:val="32"/>
          <w:lang w:val="en-US" w:eastAsia="zh-CN"/>
        </w:rPr>
        <w:t>Security and Authentication Constraints</w:t>
      </w:r>
    </w:p>
    <w:p w14:paraId="67301512">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 xml:space="preserve">Security controls have intentionally been kept minimal during the Proof-of-Concept phase in order to prioritise functional validation. The current implementation does not provide user authentication, authorisation, or role-based access control. Audit requests can therefore be submitted by any user with access to the API endpoint. </w:t>
      </w:r>
    </w:p>
    <w:p w14:paraId="35F26D74">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 xml:space="preserve">The STRIDE threat analysis identified several security concerns, including information disclosure risks, lack of audit logging, and denial-of-service vulnerabilities caused by unrestricted image uploads. </w:t>
      </w:r>
    </w:p>
    <w:p w14:paraId="70356209">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Prior to production deployment, the system would require:</w:t>
      </w:r>
    </w:p>
    <w:p w14:paraId="6E20BCB9">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OAuth2 or JWT authentication </w:t>
      </w:r>
    </w:p>
    <w:p w14:paraId="2B7C3898">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API key management </w:t>
      </w:r>
    </w:p>
    <w:p w14:paraId="04C837CC">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Audit logging </w:t>
      </w:r>
    </w:p>
    <w:p w14:paraId="58D4064B">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Secure report access controls </w:t>
      </w:r>
    </w:p>
    <w:p w14:paraId="1BA4E47D">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File upload validation </w:t>
      </w:r>
    </w:p>
    <w:p w14:paraId="00211AE4">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Rate limiting mechanisms </w:t>
      </w:r>
    </w:p>
    <w:p w14:paraId="36C717A3">
      <w:pPr>
        <w:pStyle w:val="5"/>
        <w:keepNext w:val="0"/>
        <w:keepLines w:val="0"/>
        <w:widowControl/>
        <w:numPr>
          <w:numId w:val="0"/>
        </w:numPr>
        <w:suppressLineNumbers w:val="0"/>
        <w:ind w:left="567" w:leftChars="0" w:right="0" w:rightChars="0"/>
        <w:jc w:val="left"/>
        <w:rPr>
          <w:rFonts w:ascii="Arial" w:hAnsi="Arial" w:eastAsia="Arial" w:cs="Arial"/>
          <w:kern w:val="0"/>
          <w:sz w:val="22"/>
          <w:szCs w:val="22"/>
        </w:rPr>
      </w:pPr>
    </w:p>
    <w:p w14:paraId="4E4EE843">
      <w:pPr>
        <w:numPr>
          <w:ilvl w:val="0"/>
          <w:numId w:val="1"/>
        </w:numPr>
        <w:rPr>
          <w:rFonts w:hint="default" w:ascii="Arial" w:hAnsi="Arial" w:eastAsia="Arial" w:cs="Arial"/>
          <w:b/>
          <w:bCs/>
          <w:color w:val="1F3A6E"/>
          <w:sz w:val="32"/>
          <w:szCs w:val="32"/>
          <w:lang w:val="en-US" w:eastAsia="zh-CN"/>
        </w:rPr>
      </w:pPr>
      <w:r>
        <w:rPr>
          <w:rFonts w:hint="eastAsia" w:ascii="Arial" w:hAnsi="Arial" w:eastAsia="Arial" w:cs="Arial"/>
          <w:b/>
          <w:bCs/>
          <w:color w:val="1F3A6E"/>
          <w:sz w:val="32"/>
          <w:szCs w:val="32"/>
          <w:lang w:val="en-US" w:eastAsia="zh-CN"/>
        </w:rPr>
        <w:t>Scalability Limitations</w:t>
      </w:r>
    </w:p>
    <w:p w14:paraId="34E98000">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 xml:space="preserve">The current architecture stores compliance results as JSON files within temporary operating system directories. While this approach reduces implementation complexity and is suitable for prototype testing, it introduces limitations regarding scalability, persistence, and concurrent access. Audit records may be lost after server restarts, and performance may degrade as the number of stored reports increases. </w:t>
      </w:r>
    </w:p>
    <w:p w14:paraId="5522CE9A">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 xml:space="preserve">Although the system architecture was intentionally designed to support future migration toward database-backed storage, this functionality has not yet been implemented. PostgreSQL or MongoDB integration would significantly improve long-term maintainability and scalability. </w:t>
      </w:r>
    </w:p>
    <w:p w14:paraId="32AD8B44">
      <w:pPr>
        <w:widowControl w:val="0"/>
        <w:numPr>
          <w:numId w:val="0"/>
        </w:numPr>
        <w:jc w:val="both"/>
        <w:rPr>
          <w:rFonts w:hint="default" w:ascii="Arial" w:hAnsi="Arial" w:eastAsia="Arial" w:cs="Arial"/>
          <w:b/>
          <w:bCs/>
          <w:color w:val="1F3A6E"/>
          <w:sz w:val="32"/>
          <w:szCs w:val="32"/>
          <w:lang w:val="en-US" w:eastAsia="zh-CN"/>
        </w:rPr>
      </w:pPr>
    </w:p>
    <w:p w14:paraId="46C7F1CC">
      <w:pPr>
        <w:widowControl w:val="0"/>
        <w:numPr>
          <w:numId w:val="0"/>
        </w:numPr>
        <w:jc w:val="both"/>
        <w:rPr>
          <w:rFonts w:hint="default" w:ascii="Arial" w:hAnsi="Arial" w:eastAsia="Arial" w:cs="Arial"/>
          <w:b/>
          <w:bCs/>
          <w:color w:val="1F3A6E"/>
          <w:sz w:val="32"/>
          <w:szCs w:val="32"/>
          <w:lang w:val="en-US" w:eastAsia="zh-CN"/>
        </w:rPr>
      </w:pPr>
    </w:p>
    <w:p w14:paraId="2AAE6643">
      <w:pPr>
        <w:widowControl w:val="0"/>
        <w:numPr>
          <w:numId w:val="0"/>
        </w:numPr>
        <w:jc w:val="both"/>
        <w:rPr>
          <w:rFonts w:hint="default" w:ascii="Arial" w:hAnsi="Arial" w:eastAsia="Arial" w:cs="Arial"/>
          <w:b/>
          <w:bCs/>
          <w:color w:val="1F3A6E"/>
          <w:sz w:val="32"/>
          <w:szCs w:val="32"/>
          <w:lang w:val="en-US" w:eastAsia="zh-CN"/>
        </w:rPr>
      </w:pPr>
    </w:p>
    <w:p w14:paraId="4D2F3B30">
      <w:pPr>
        <w:widowControl w:val="0"/>
        <w:numPr>
          <w:numId w:val="0"/>
        </w:numPr>
        <w:jc w:val="both"/>
        <w:rPr>
          <w:rFonts w:hint="default" w:ascii="Arial" w:hAnsi="Arial" w:eastAsia="Arial" w:cs="Arial"/>
          <w:b/>
          <w:bCs/>
          <w:color w:val="1F3A6E"/>
          <w:sz w:val="32"/>
          <w:szCs w:val="32"/>
          <w:lang w:val="en-US" w:eastAsia="zh-CN"/>
        </w:rPr>
      </w:pPr>
    </w:p>
    <w:p w14:paraId="4BEBF553">
      <w:pPr>
        <w:numPr>
          <w:ilvl w:val="0"/>
          <w:numId w:val="1"/>
        </w:numPr>
        <w:rPr>
          <w:rFonts w:hint="default" w:ascii="Arial" w:hAnsi="Arial" w:eastAsia="Arial" w:cs="Arial"/>
          <w:b/>
          <w:bCs/>
          <w:color w:val="1F3A6E"/>
          <w:sz w:val="32"/>
          <w:szCs w:val="32"/>
          <w:lang w:val="en-US" w:eastAsia="zh-CN"/>
        </w:rPr>
      </w:pPr>
      <w:r>
        <w:rPr>
          <w:rFonts w:hint="eastAsia" w:ascii="Arial" w:hAnsi="Arial" w:eastAsia="Arial" w:cs="Arial"/>
          <w:b/>
          <w:bCs/>
          <w:color w:val="1F3A6E"/>
          <w:sz w:val="32"/>
          <w:szCs w:val="32"/>
          <w:lang w:val="en-US" w:eastAsia="zh-CN"/>
        </w:rPr>
        <w:t>Computational Performance Constraints</w:t>
      </w:r>
    </w:p>
    <w:p w14:paraId="48A6E0BD">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 xml:space="preserve">AccessScan combines several computationally intensive AI components, including YOLOv8 object detection and MiDaS depth estimation. Although optimisation techniques such as lazy model loading have been implemented to minimise startup overhead, inference performance remains dependent on available hardware resources. </w:t>
      </w:r>
    </w:p>
    <w:p w14:paraId="6F419144">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 xml:space="preserve">On systems without GPU acceleration, processing times may increase significantly when analysing high-resolution images or multiple requests simultaneously. The maintenance documentation indicates that GPU-enabled environments can reduce inference times from approximately five seconds to under one second. </w:t>
      </w:r>
    </w:p>
    <w:p w14:paraId="174DE935">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This limitation restricts the current system’s suitability for large-scale real-time monitoring applications.</w:t>
      </w:r>
    </w:p>
    <w:p w14:paraId="3E458F8D">
      <w:pPr>
        <w:widowControl w:val="0"/>
        <w:numPr>
          <w:numId w:val="0"/>
        </w:numPr>
        <w:jc w:val="both"/>
        <w:rPr>
          <w:rFonts w:hint="default" w:ascii="Arial" w:hAnsi="Arial" w:eastAsia="Arial" w:cs="Arial"/>
          <w:b/>
          <w:bCs/>
          <w:color w:val="1F3A6E"/>
          <w:sz w:val="32"/>
          <w:szCs w:val="32"/>
          <w:lang w:val="en-US" w:eastAsia="zh-CN"/>
        </w:rPr>
      </w:pPr>
    </w:p>
    <w:p w14:paraId="79804B34">
      <w:pPr>
        <w:numPr>
          <w:ilvl w:val="0"/>
          <w:numId w:val="1"/>
        </w:numPr>
        <w:rPr>
          <w:rFonts w:hint="default" w:ascii="Arial" w:hAnsi="Arial" w:eastAsia="Arial" w:cs="Arial"/>
          <w:b/>
          <w:bCs/>
          <w:color w:val="1F3A6E"/>
          <w:sz w:val="32"/>
          <w:szCs w:val="32"/>
          <w:lang w:val="en-US" w:eastAsia="zh-CN"/>
        </w:rPr>
      </w:pPr>
      <w:r>
        <w:rPr>
          <w:rFonts w:hint="eastAsia" w:ascii="Arial" w:hAnsi="Arial" w:eastAsia="Arial" w:cs="Arial"/>
          <w:b/>
          <w:bCs/>
          <w:color w:val="1F3A6E"/>
          <w:sz w:val="32"/>
          <w:szCs w:val="32"/>
          <w:lang w:val="en-US" w:eastAsia="zh-CN"/>
        </w:rPr>
        <w:t>Compliance Interpretation Limitations</w:t>
      </w:r>
    </w:p>
    <w:p w14:paraId="5696835B">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 xml:space="preserve">AccessScan evaluates infrastructure against predefined DSAPT rules using an automated rule engine. While this approach provides consistency and repeatability, accessibility compliance often involves contextual factors that cannot be reliably assessed from imagery alone. Examples include surface material quality, maintenance conditions, environmental hazards, temporary obstructions, and user experience considerations. </w:t>
      </w:r>
    </w:p>
    <w:p w14:paraId="52E33EFA">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For this reason, the User Manual explicitly states that the system does not replace qualified accessibility auditors and should be regarded as a screening and decision-support tool rather than a legally binding compliance certification system.</w:t>
      </w:r>
    </w:p>
    <w:p w14:paraId="1EB70FA8">
      <w:pPr>
        <w:widowControl w:val="0"/>
        <w:numPr>
          <w:numId w:val="0"/>
        </w:numPr>
        <w:jc w:val="both"/>
        <w:rPr>
          <w:rFonts w:hint="default" w:ascii="Arial" w:hAnsi="Arial" w:eastAsia="Arial" w:cs="Arial"/>
          <w:b/>
          <w:bCs/>
          <w:color w:val="1F3A6E"/>
          <w:sz w:val="32"/>
          <w:szCs w:val="32"/>
          <w:lang w:val="en-US" w:eastAsia="zh-CN"/>
        </w:rPr>
      </w:pPr>
    </w:p>
    <w:p w14:paraId="454F5041">
      <w:pPr>
        <w:widowControl w:val="0"/>
        <w:numPr>
          <w:numId w:val="0"/>
        </w:numPr>
        <w:jc w:val="both"/>
        <w:rPr>
          <w:rFonts w:hint="default" w:ascii="Arial" w:hAnsi="Arial" w:eastAsia="Arial" w:cs="Arial"/>
          <w:b/>
          <w:bCs/>
          <w:color w:val="1F3A6E"/>
          <w:sz w:val="32"/>
          <w:szCs w:val="32"/>
          <w:lang w:val="en-US" w:eastAsia="zh-CN"/>
        </w:rPr>
      </w:pPr>
    </w:p>
    <w:p w14:paraId="5FD91EBC">
      <w:pPr>
        <w:widowControl w:val="0"/>
        <w:numPr>
          <w:numId w:val="0"/>
        </w:numPr>
        <w:jc w:val="both"/>
        <w:rPr>
          <w:rFonts w:hint="default" w:ascii="Arial" w:hAnsi="Arial" w:eastAsia="Arial" w:cs="Arial"/>
          <w:b/>
          <w:bCs/>
          <w:color w:val="1F3A6E"/>
          <w:sz w:val="32"/>
          <w:szCs w:val="32"/>
          <w:lang w:val="en-US" w:eastAsia="zh-CN"/>
        </w:rPr>
      </w:pPr>
    </w:p>
    <w:p w14:paraId="77097FF4">
      <w:pPr>
        <w:widowControl w:val="0"/>
        <w:numPr>
          <w:numId w:val="0"/>
        </w:numPr>
        <w:jc w:val="both"/>
        <w:rPr>
          <w:rFonts w:hint="default" w:ascii="Arial" w:hAnsi="Arial" w:eastAsia="Arial" w:cs="Arial"/>
          <w:b/>
          <w:bCs/>
          <w:color w:val="1F3A6E"/>
          <w:sz w:val="32"/>
          <w:szCs w:val="32"/>
          <w:lang w:val="en-US" w:eastAsia="zh-CN"/>
        </w:rPr>
      </w:pPr>
    </w:p>
    <w:p w14:paraId="38844A9F">
      <w:pPr>
        <w:widowControl w:val="0"/>
        <w:numPr>
          <w:numId w:val="0"/>
        </w:numPr>
        <w:jc w:val="both"/>
        <w:rPr>
          <w:rFonts w:hint="default" w:ascii="Arial" w:hAnsi="Arial" w:eastAsia="Arial" w:cs="Arial"/>
          <w:b/>
          <w:bCs/>
          <w:color w:val="1F3A6E"/>
          <w:sz w:val="32"/>
          <w:szCs w:val="32"/>
          <w:lang w:val="en-US" w:eastAsia="zh-CN"/>
        </w:rPr>
      </w:pPr>
    </w:p>
    <w:p w14:paraId="16E014AB">
      <w:pPr>
        <w:widowControl w:val="0"/>
        <w:numPr>
          <w:numId w:val="0"/>
        </w:numPr>
        <w:jc w:val="both"/>
        <w:rPr>
          <w:rFonts w:hint="default" w:ascii="Arial" w:hAnsi="Arial" w:eastAsia="Arial" w:cs="Arial"/>
          <w:b/>
          <w:bCs/>
          <w:color w:val="1F3A6E"/>
          <w:sz w:val="32"/>
          <w:szCs w:val="32"/>
          <w:lang w:val="en-US" w:eastAsia="zh-CN"/>
        </w:rPr>
      </w:pPr>
    </w:p>
    <w:p w14:paraId="6CB2B35F">
      <w:pPr>
        <w:numPr>
          <w:ilvl w:val="0"/>
          <w:numId w:val="1"/>
        </w:numPr>
        <w:rPr>
          <w:rFonts w:hint="default" w:ascii="Arial" w:hAnsi="Arial" w:eastAsia="Arial" w:cs="Arial"/>
          <w:b/>
          <w:bCs/>
          <w:color w:val="1F3A6E"/>
          <w:sz w:val="32"/>
          <w:szCs w:val="32"/>
          <w:lang w:val="en-US" w:eastAsia="zh-CN"/>
        </w:rPr>
      </w:pPr>
      <w:r>
        <w:rPr>
          <w:rFonts w:hint="eastAsia" w:ascii="Arial" w:hAnsi="Arial" w:eastAsia="Arial" w:cs="Arial"/>
          <w:b/>
          <w:bCs/>
          <w:color w:val="1F3A6E"/>
          <w:sz w:val="32"/>
          <w:szCs w:val="32"/>
          <w:lang w:val="en-US" w:eastAsia="zh-CN"/>
        </w:rPr>
        <w:t>User Interface and Operational Constraints</w:t>
      </w:r>
    </w:p>
    <w:p w14:paraId="64E3E8CB">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The current web interface was designed primarily for demonstration and evaluation purposes. Although the interface supports image upload, compliance review, and PDF generation, several enterprise-level features remain unavailable. These include:</w:t>
      </w:r>
    </w:p>
    <w:p w14:paraId="75FB34BD">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User account management </w:t>
      </w:r>
    </w:p>
    <w:p w14:paraId="765E85DC">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Historical audit dashboards </w:t>
      </w:r>
    </w:p>
    <w:p w14:paraId="289BB1C7">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Team collaboration workflows </w:t>
      </w:r>
    </w:p>
    <w:p w14:paraId="0C142FC5">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Report version tracking </w:t>
      </w:r>
    </w:p>
    <w:p w14:paraId="143D5DFC">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Accessibility preference customisation </w:t>
      </w:r>
    </w:p>
    <w:p w14:paraId="3EEEF6C1">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Multi-site portfolio management </w:t>
      </w:r>
    </w:p>
    <w:p w14:paraId="6A8D61CB">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As a result, operational workflows still require significant manual intervention when managing large numbers of audit reports.</w:t>
      </w:r>
    </w:p>
    <w:p w14:paraId="78AEAF81">
      <w:pPr>
        <w:numPr>
          <w:numId w:val="0"/>
        </w:numPr>
        <w:rPr>
          <w:rFonts w:hint="default" w:ascii="Arial" w:hAnsi="Arial" w:eastAsia="Arial" w:cs="Arial"/>
          <w:b/>
          <w:bCs/>
          <w:color w:val="1F3A6E"/>
          <w:sz w:val="32"/>
          <w:szCs w:val="32"/>
          <w:lang w:val="en-US" w:eastAsia="zh-CN"/>
        </w:rPr>
      </w:pPr>
    </w:p>
    <w:p w14:paraId="0C080997">
      <w:pPr>
        <w:numPr>
          <w:ilvl w:val="0"/>
          <w:numId w:val="1"/>
        </w:numPr>
        <w:rPr>
          <w:rFonts w:hint="default" w:ascii="Arial" w:hAnsi="Arial" w:eastAsia="Arial" w:cs="Arial"/>
          <w:b/>
          <w:bCs/>
          <w:color w:val="1F3A6E"/>
          <w:sz w:val="32"/>
          <w:szCs w:val="32"/>
          <w:lang w:val="en-US" w:eastAsia="zh-CN"/>
        </w:rPr>
      </w:pPr>
      <w:r>
        <w:rPr>
          <w:rFonts w:hint="eastAsia" w:ascii="Arial" w:hAnsi="Arial" w:eastAsia="Arial" w:cs="Arial"/>
          <w:b/>
          <w:bCs/>
          <w:color w:val="1F3A6E"/>
          <w:sz w:val="32"/>
          <w:szCs w:val="32"/>
          <w:lang w:val="en-US" w:eastAsia="zh-CN"/>
        </w:rPr>
        <w:t>Legal and Licensing Constraints</w:t>
      </w:r>
    </w:p>
    <w:p w14:paraId="5091BF3A">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The system currently relies on Ultralytics YOLOv8, which is distributed under the AGPL-3.0 licence. While acceptable for educational and research purposes, commercial or government deployment may require additional licensing considerations. The Project Desig</w:t>
      </w:r>
      <w:bookmarkStart w:id="0" w:name="_GoBack"/>
      <w:bookmarkEnd w:id="0"/>
      <w:r>
        <w:rPr>
          <w:rFonts w:ascii="Arial" w:hAnsi="Arial" w:eastAsia="Arial" w:cs="Arial"/>
          <w:kern w:val="0"/>
          <w:sz w:val="22"/>
          <w:szCs w:val="22"/>
        </w:rPr>
        <w:t xml:space="preserve">n Document specifically notes that derivative commercial applications may require a commercial licence from Ultralytics. </w:t>
      </w:r>
    </w:p>
    <w:p w14:paraId="6269F9B3">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This licensing dependency represents a potential barrier to future enterprise adoption and should be assessed during any productionisation effort.</w:t>
      </w:r>
    </w:p>
    <w:p w14:paraId="7A95B739">
      <w:pPr>
        <w:widowControl w:val="0"/>
        <w:numPr>
          <w:numId w:val="0"/>
        </w:numPr>
        <w:jc w:val="both"/>
        <w:rPr>
          <w:rFonts w:hint="default" w:ascii="Arial" w:hAnsi="Arial" w:eastAsia="Arial" w:cs="Arial"/>
          <w:b/>
          <w:bCs/>
          <w:color w:val="1F3A6E"/>
          <w:sz w:val="32"/>
          <w:szCs w:val="32"/>
          <w:lang w:val="en-US" w:eastAsia="zh-CN"/>
        </w:rPr>
      </w:pPr>
    </w:p>
    <w:p w14:paraId="42E1CE40">
      <w:pPr>
        <w:widowControl w:val="0"/>
        <w:numPr>
          <w:numId w:val="0"/>
        </w:numPr>
        <w:jc w:val="both"/>
        <w:rPr>
          <w:rFonts w:hint="default" w:ascii="Arial" w:hAnsi="Arial" w:eastAsia="Arial" w:cs="Arial"/>
          <w:b/>
          <w:bCs/>
          <w:color w:val="1F3A6E"/>
          <w:sz w:val="32"/>
          <w:szCs w:val="32"/>
          <w:lang w:val="en-US" w:eastAsia="zh-CN"/>
        </w:rPr>
      </w:pPr>
    </w:p>
    <w:p w14:paraId="2515CB3A">
      <w:pPr>
        <w:widowControl w:val="0"/>
        <w:numPr>
          <w:numId w:val="0"/>
        </w:numPr>
        <w:jc w:val="both"/>
        <w:rPr>
          <w:rFonts w:hint="default" w:ascii="Arial" w:hAnsi="Arial" w:eastAsia="Arial" w:cs="Arial"/>
          <w:b/>
          <w:bCs/>
          <w:color w:val="1F3A6E"/>
          <w:sz w:val="32"/>
          <w:szCs w:val="32"/>
          <w:lang w:val="en-US" w:eastAsia="zh-CN"/>
        </w:rPr>
      </w:pPr>
    </w:p>
    <w:p w14:paraId="21AA8461">
      <w:pPr>
        <w:widowControl w:val="0"/>
        <w:numPr>
          <w:numId w:val="0"/>
        </w:numPr>
        <w:jc w:val="both"/>
        <w:rPr>
          <w:rFonts w:hint="default" w:ascii="Arial" w:hAnsi="Arial" w:eastAsia="Arial" w:cs="Arial"/>
          <w:b/>
          <w:bCs/>
          <w:color w:val="1F3A6E"/>
          <w:sz w:val="32"/>
          <w:szCs w:val="32"/>
          <w:lang w:val="en-US" w:eastAsia="zh-CN"/>
        </w:rPr>
      </w:pPr>
    </w:p>
    <w:p w14:paraId="704696C9">
      <w:pPr>
        <w:widowControl w:val="0"/>
        <w:numPr>
          <w:numId w:val="0"/>
        </w:numPr>
        <w:jc w:val="both"/>
        <w:rPr>
          <w:rFonts w:hint="default" w:ascii="Arial" w:hAnsi="Arial" w:eastAsia="Arial" w:cs="Arial"/>
          <w:b/>
          <w:bCs/>
          <w:color w:val="1F3A6E"/>
          <w:sz w:val="32"/>
          <w:szCs w:val="32"/>
          <w:lang w:val="en-US" w:eastAsia="zh-CN"/>
        </w:rPr>
      </w:pPr>
    </w:p>
    <w:p w14:paraId="0B64BDFD">
      <w:pPr>
        <w:widowControl w:val="0"/>
        <w:numPr>
          <w:numId w:val="0"/>
        </w:numPr>
        <w:jc w:val="both"/>
        <w:rPr>
          <w:rFonts w:hint="default" w:ascii="Arial" w:hAnsi="Arial" w:eastAsia="Arial" w:cs="Arial"/>
          <w:b/>
          <w:bCs/>
          <w:color w:val="1F3A6E"/>
          <w:sz w:val="32"/>
          <w:szCs w:val="32"/>
          <w:lang w:val="en-US" w:eastAsia="zh-CN"/>
        </w:rPr>
      </w:pPr>
    </w:p>
    <w:p w14:paraId="12AF7792">
      <w:pPr>
        <w:widowControl w:val="0"/>
        <w:numPr>
          <w:numId w:val="0"/>
        </w:numPr>
        <w:jc w:val="both"/>
        <w:rPr>
          <w:rFonts w:hint="default" w:ascii="Arial" w:hAnsi="Arial" w:eastAsia="Arial" w:cs="Arial"/>
          <w:b/>
          <w:bCs/>
          <w:color w:val="1F3A6E"/>
          <w:sz w:val="32"/>
          <w:szCs w:val="32"/>
          <w:lang w:val="en-US" w:eastAsia="zh-CN"/>
        </w:rPr>
      </w:pPr>
    </w:p>
    <w:p w14:paraId="36B70ED5">
      <w:pPr>
        <w:numPr>
          <w:ilvl w:val="0"/>
          <w:numId w:val="1"/>
        </w:numPr>
        <w:rPr>
          <w:rFonts w:hint="default" w:ascii="Arial" w:hAnsi="Arial" w:eastAsia="Arial" w:cs="Arial"/>
          <w:b/>
          <w:bCs/>
          <w:color w:val="1F3A6E"/>
          <w:sz w:val="32"/>
          <w:szCs w:val="32"/>
          <w:lang w:val="en-US" w:eastAsia="zh-CN"/>
        </w:rPr>
      </w:pPr>
      <w:r>
        <w:rPr>
          <w:rFonts w:hint="eastAsia" w:ascii="Arial" w:hAnsi="Arial" w:eastAsia="Arial" w:cs="Arial"/>
          <w:b/>
          <w:bCs/>
          <w:color w:val="1F3A6E"/>
          <w:sz w:val="32"/>
          <w:szCs w:val="32"/>
          <w:lang w:val="en-US" w:eastAsia="zh-CN"/>
        </w:rPr>
        <w:t>Future Improvements</w:t>
      </w:r>
    </w:p>
    <w:p w14:paraId="6B6B928B">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To advance beyond the current TRL 3 Proof-of-Concept stage, future development should prioritise:</w:t>
      </w:r>
    </w:p>
    <w:p w14:paraId="1AFB4DED">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Expansion of the training dataset </w:t>
      </w:r>
    </w:p>
    <w:p w14:paraId="3DF956AB">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Multi-image and video-based analysis </w:t>
      </w:r>
    </w:p>
    <w:p w14:paraId="1DEB59A3">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Metric depth calibration </w:t>
      </w:r>
    </w:p>
    <w:p w14:paraId="6FA30AC9">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Database-backed persistence </w:t>
      </w:r>
    </w:p>
    <w:p w14:paraId="35F328FB">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OAuth2/JWT authentication </w:t>
      </w:r>
    </w:p>
    <w:p w14:paraId="7307FA2B">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Cloud-native deployment </w:t>
      </w:r>
    </w:p>
    <w:p w14:paraId="49ECBF4A">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Real-time processing optimisation </w:t>
      </w:r>
    </w:p>
    <w:p w14:paraId="7518DB83">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Automated CI/CD pipelines </w:t>
      </w:r>
    </w:p>
    <w:p w14:paraId="4DB9FC7D">
      <w:pPr>
        <w:pStyle w:val="5"/>
        <w:keepNext w:val="0"/>
        <w:keepLines w:val="0"/>
        <w:widowControl/>
        <w:numPr>
          <w:ilvl w:val="0"/>
          <w:numId w:val="2"/>
        </w:numPr>
        <w:suppressLineNumbers w:val="0"/>
        <w:ind w:left="420" w:leftChars="0" w:firstLine="147" w:firstLineChars="0"/>
        <w:jc w:val="both"/>
        <w:rPr>
          <w:rFonts w:ascii="Arial" w:hAnsi="Arial" w:eastAsia="Arial" w:cs="Arial"/>
          <w:kern w:val="0"/>
          <w:sz w:val="22"/>
          <w:szCs w:val="22"/>
        </w:rPr>
      </w:pPr>
      <w:r>
        <w:rPr>
          <w:rFonts w:ascii="Arial" w:hAnsi="Arial" w:eastAsia="Arial" w:cs="Arial"/>
          <w:kern w:val="0"/>
          <w:sz w:val="22"/>
          <w:szCs w:val="22"/>
        </w:rPr>
        <w:t xml:space="preserve">Advanced reporting and analytics functionality </w:t>
      </w:r>
    </w:p>
    <w:p w14:paraId="734B32FA">
      <w:pPr>
        <w:pStyle w:val="5"/>
        <w:keepNext w:val="0"/>
        <w:keepLines w:val="0"/>
        <w:widowControl/>
        <w:suppressLineNumbers w:val="0"/>
        <w:jc w:val="both"/>
        <w:rPr>
          <w:rFonts w:ascii="Arial" w:hAnsi="Arial" w:eastAsia="Arial" w:cs="Arial"/>
          <w:kern w:val="0"/>
          <w:sz w:val="22"/>
          <w:szCs w:val="22"/>
        </w:rPr>
      </w:pPr>
      <w:r>
        <w:rPr>
          <w:rFonts w:ascii="Arial" w:hAnsi="Arial" w:eastAsia="Arial" w:cs="Arial"/>
          <w:kern w:val="0"/>
          <w:sz w:val="22"/>
          <w:szCs w:val="22"/>
        </w:rPr>
        <w:t>Addressing these limitations would significantly improve the system’s robustness, scalability, security, and suitability for operational deployment within public transport accessibility auditing programs.</w:t>
      </w:r>
    </w:p>
    <w:p w14:paraId="595A9D05">
      <w:pPr>
        <w:widowControl w:val="0"/>
        <w:numPr>
          <w:numId w:val="0"/>
        </w:numPr>
        <w:jc w:val="both"/>
        <w:rPr>
          <w:rFonts w:hint="default" w:ascii="宋体" w:hAnsi="宋体" w:eastAsia="宋体" w:cs="宋体"/>
          <w:sz w:val="24"/>
          <w:szCs w:val="24"/>
          <w:lang w:val="en-US" w:eastAsia="zh-CN"/>
        </w:rPr>
      </w:pPr>
    </w:p>
    <w:p w14:paraId="0B6FBFBD">
      <w:pPr>
        <w:widowControl w:val="0"/>
        <w:numPr>
          <w:numId w:val="0"/>
        </w:numPr>
        <w:jc w:val="both"/>
        <w:rPr>
          <w:rFonts w:hint="eastAsia" w:ascii="Arial" w:hAnsi="Arial" w:eastAsia="Arial" w:cs="Arial"/>
          <w:b/>
          <w:bCs/>
          <w:color w:val="1F3A6E"/>
          <w:sz w:val="32"/>
          <w:szCs w:val="32"/>
          <w:lang w:val="en-US" w:eastAsia="zh-CN"/>
        </w:rPr>
      </w:pPr>
    </w:p>
    <w:p w14:paraId="2AED84C8">
      <w:pPr>
        <w:widowControl w:val="0"/>
        <w:numPr>
          <w:numId w:val="0"/>
        </w:numPr>
        <w:jc w:val="both"/>
        <w:rPr>
          <w:rFonts w:hint="default" w:ascii="Arial" w:hAnsi="Arial" w:eastAsia="Arial" w:cs="Arial"/>
          <w:b/>
          <w:bCs/>
          <w:color w:val="1F3A6E"/>
          <w:sz w:val="32"/>
          <w:szCs w:val="32"/>
          <w:lang w:val="en-US" w:eastAsia="zh-CN"/>
        </w:rPr>
      </w:pPr>
    </w:p>
    <w:p w14:paraId="5E50E198">
      <w:pPr>
        <w:widowControl w:val="0"/>
        <w:numPr>
          <w:numId w:val="0"/>
        </w:numPr>
        <w:jc w:val="both"/>
        <w:rPr>
          <w:rFonts w:hint="default" w:ascii="Arial" w:hAnsi="Arial" w:eastAsia="Arial" w:cs="Arial"/>
          <w:b/>
          <w:bCs/>
          <w:color w:val="1F3A6E"/>
          <w:sz w:val="32"/>
          <w:szCs w:val="32"/>
          <w:lang w:val="en-US" w:eastAsia="zh-CN"/>
        </w:rPr>
      </w:pPr>
    </w:p>
    <w:p w14:paraId="58EA853A">
      <w:pPr>
        <w:rPr>
          <w:rFonts w:hint="default"/>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DBD16">
    <w:pPr>
      <w:pBdr>
        <w:top w:val="single" w:color="2196F3" w:sz="4" w:space="6"/>
      </w:pBdr>
      <w:jc w:val="center"/>
    </w:pPr>
    <w:r>
      <w:rPr>
        <w:rFonts w:ascii="Arial" w:hAnsi="Arial" w:eastAsia="Arial" w:cs="Arial"/>
        <w:color w:val="666666"/>
        <w:sz w:val="18"/>
        <w:szCs w:val="18"/>
      </w:rPr>
      <w:t xml:space="preserve">La Trobe University × DITRDCA  |  Confidential  |  Page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536A4">
    <w:pPr>
      <w:pBdr>
        <w:bottom w:val="single" w:color="2196F3" w:sz="4" w:space="6"/>
      </w:pBdr>
    </w:pPr>
    <w:r>
      <w:rPr>
        <w:rFonts w:ascii="Arial" w:hAnsi="Arial" w:eastAsia="Arial" w:cs="Arial"/>
        <w:color w:val="666666"/>
        <w:sz w:val="18"/>
        <w:szCs w:val="18"/>
      </w:rPr>
      <w:t>AccessScan — Project Design Document</w:t>
    </w:r>
  </w:p>
  <w:p w14:paraId="12ED3C57">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AC604B"/>
    <w:multiLevelType w:val="multilevel"/>
    <w:tmpl w:val="FDAC604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167B02A"/>
    <w:multiLevelType w:val="singleLevel"/>
    <w:tmpl w:val="1167B02A"/>
    <w:lvl w:ilvl="0" w:tentative="0">
      <w:start w:val="1"/>
      <w:numFmt w:val="bullet"/>
      <w:lvlText w:val=""/>
      <w:lvlJc w:val="left"/>
      <w:pPr>
        <w:ind w:left="420" w:leftChars="0" w:firstLine="147" w:firstLineChars="0"/>
      </w:pPr>
      <w:rPr>
        <w:rFonts w:hint="default" w:ascii="Wingdings" w:hAnsi="Wingdings" w:cs="Wingdings"/>
        <w:sz w:val="16"/>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5D6A3A"/>
    <w:rsid w:val="475D6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3A6E"/>
      <w:sz w:val="32"/>
      <w:szCs w:val="32"/>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2026-05-29T03:26:00Z</dcterms:created>
  <dc:creator>J</dc:creator>
  <cp:lastModifiedBy>J</cp:lastModifiedBy>
  <dcterms:modified xsi:type="dcterms:W3CDTF">2026-05-29T03:42:05Z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023137FF10834BF6A45605F9098ABB27_11</vt:lpwstr>
  </property>
  <property fmtid="{D5CDD505-2E9C-101B-9397-08002B2CF9AE}" pid="4" name="KSOTemplateDocerSaveRecord">
    <vt:lpwstr>eyJoZGlkIjoiM2E0NWY5OWM4MDI1YzY1YWQ0YmFiOWViODVjMTljODEiLCJ1c2VySWQiOiIyNjg1OTc3NTIifQ==</vt:lpwstr>
  </property>
</Properties>
</file>