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71F67" w14:textId="77777777" w:rsidR="00826BAF" w:rsidRPr="00C944DE" w:rsidRDefault="00826BAF" w:rsidP="00826BAF">
      <w:pPr>
        <w:numPr>
          <w:ilvl w:val="0"/>
          <w:numId w:val="1"/>
        </w:numPr>
        <w:rPr>
          <w:b/>
          <w:bCs/>
        </w:rPr>
      </w:pPr>
      <w:r w:rsidRPr="00C944DE">
        <w:rPr>
          <w:b/>
          <w:bCs/>
        </w:rPr>
        <w:t>Summary of Paper</w:t>
      </w:r>
    </w:p>
    <w:p w14:paraId="7B523B74" w14:textId="77777777" w:rsidR="006D64F6" w:rsidRDefault="006D64F6" w:rsidP="00826BAF">
      <w:r w:rsidRPr="006D64F6">
        <w:t xml:space="preserve">Autor, Dorn, and Hanson (2013, hereafter ADH), “The China Syndrome: Local Labor Market Effects of Import Competition in the United States,” examine how rising Chinese import competition affected U.S. local labor markets between 1990 and 2007. Their primary research question is whether greater exposure to Chinese imports contributed to declines in manufacturing employment, wages, and labor force participation across U.S. regions. Using commuting zones (CZs) as local labor market units, ADH utilize cross-sectional variation in exposure generated by differences in initial industry composition, where CZs more specialized in industries later exposed to Chinese import growth face larger trade shocks. To address endogeneity concerns, they instrument U.S. import exposure using a Bartik (shift-share) instrument that interacts baseline industry employment shares with Chinese export growth to other high-income countries, isolating variation driven by external supply shocks rather than domestic demand conditions. ADH find that more exposed CZs experienced significant declines in manufacturing employment, lower wages, and reduced labor force participation. Their estimates imply that Chinese import competition accounts for roughly 25-40 of the observed decline in U.S. manufacturing employment over the sample period. While highly influential, the paper has generated debate regarding the validity of the shift-share design and the measurement of trade exposure, which motivates our extension to political outcomes. Our project extends this framework by examining whether China shock exposure also affects political outcomes, specifically Republican vote margins in presidential elections, and how these effects evolve over time. </w:t>
      </w:r>
    </w:p>
    <w:p w14:paraId="58D5F8B4" w14:textId="4BA45B5F" w:rsidR="00826BAF" w:rsidRPr="00826BAF" w:rsidRDefault="00826BAF" w:rsidP="00826BAF">
      <w:r w:rsidRPr="00C944DE">
        <w:rPr>
          <w:b/>
          <w:bCs/>
        </w:rPr>
        <w:t>2c</w:t>
      </w:r>
      <w:r w:rsidRPr="00826BAF">
        <w:t>. </w:t>
      </w:r>
    </w:p>
    <w:p w14:paraId="23B2FD5D" w14:textId="77777777" w:rsidR="00826BAF" w:rsidRPr="00826BAF" w:rsidRDefault="00826BAF" w:rsidP="00826BAF">
      <w:r w:rsidRPr="00826BAF">
        <w:t>A key empirical challenge is that identification relies on both the measurement of exposure and the validity of the shift-share design. Principally, the ADH exposure measure may suffer from aggregation and temporal bias. Import exposure is aggregated across broad industries, which may conceal substantial heterogeneity at more disaggregated levels. If variation in exposure is driven by a small subset of industries (e.g., textiles, furniture, and electronics), estimated effects may reflect industry-specific shocks rather than general trade exposure. In addition, ADH collapse exposure over 1990–2007 into a single time-invariant measure. This imposes a static treatment intensity despite substantial variation in the timing of import penetration. This is particularly relevant in our setting, where political responses may differ across electoral cycles (</w:t>
      </w:r>
      <w:proofErr w:type="spellStart"/>
      <w:r w:rsidRPr="00826BAF">
        <w:t>e.g.,Trump</w:t>
      </w:r>
      <w:proofErr w:type="spellEnd"/>
      <w:r w:rsidRPr="00826BAF">
        <w:t xml:space="preserve"> era). We therefore construct time-varying exposure measures over subperiods.</w:t>
      </w:r>
    </w:p>
    <w:p w14:paraId="24AEA8D0" w14:textId="77777777" w:rsidR="00826BAF" w:rsidRPr="00826BAF" w:rsidRDefault="00826BAF" w:rsidP="00826BAF">
      <w:r w:rsidRPr="00826BAF">
        <w:t>There are concerns regarding the validity of the Bartik instrument and initial industry shares. Identification depends not only on Chinese export growth but also on baseline industry composition in 1990. These industry shares are not randomly assigned across commuting zones and may be correlated with unobserved determinants of political outcomes, including automation exposure, unionization, education, demographic structure, or pre-existing political trends. Thus, both the IV strategy and reduced-form specification rely on a conditional exogeneity assumption for initial industrial composition.</w:t>
      </w:r>
    </w:p>
    <w:p w14:paraId="5B8EE6BD" w14:textId="3A17920C" w:rsidR="00826BAF" w:rsidRPr="00826BAF" w:rsidRDefault="006D64F6" w:rsidP="00826BAF">
      <w:r w:rsidRPr="00826BAF">
        <w:t>Additionally,</w:t>
      </w:r>
      <w:r w:rsidR="00826BAF" w:rsidRPr="00826BAF">
        <w:t xml:space="preserve"> there is potential compositional bias due to migration across commuting zones. If trade-exposed regions experience selective in or out migration, observed political changes may reflect shifts in population composition instead of changes in individual political preferences. Measurement issues can also arise from mapping county-level election data into historical CZ </w:t>
      </w:r>
      <w:r w:rsidR="00826BAF" w:rsidRPr="00826BAF">
        <w:lastRenderedPageBreak/>
        <w:t>boundaries and from sensitivity to alternative spatial definitions of labor markets. Together, these concerns motivate extensive robustness checks, including pre-trend analysis and alternative exposure constructions.</w:t>
      </w:r>
    </w:p>
    <w:p w14:paraId="1436BCD3" w14:textId="77777777" w:rsidR="00826BAF" w:rsidRPr="00826BAF" w:rsidRDefault="00826BAF" w:rsidP="00826BAF">
      <w:r w:rsidRPr="00826BAF">
        <w:rPr>
          <w:b/>
          <w:bCs/>
        </w:rPr>
        <w:t>3a.</w:t>
      </w:r>
    </w:p>
    <w:p w14:paraId="12F6AE2A" w14:textId="77777777" w:rsidR="00826BAF" w:rsidRPr="00826BAF" w:rsidRDefault="00826BAF" w:rsidP="00826BAF">
      <w:r w:rsidRPr="00826BAF">
        <w:t>Our analysis combines four primary datasets to construct commuting-zone-level political and trade exposure measures. We use the ADH (2013) replication package for baseline commuting-zone trade exposure measures and pre-determined labor market controls, including industry composition and demographic structure.</w:t>
      </w:r>
    </w:p>
    <w:p w14:paraId="1C844DFD" w14:textId="77777777" w:rsidR="00826BAF" w:rsidRPr="00826BAF" w:rsidRDefault="00826BAF" w:rsidP="00826BAF">
      <w:r w:rsidRPr="00826BAF">
        <w:t xml:space="preserve">To align modern political data with historical labor markets, we use Ferrara, Testa, and Zhou (2024), </w:t>
      </w:r>
      <w:r w:rsidRPr="00826BAF">
        <w:rPr>
          <w:i/>
          <w:iCs/>
        </w:rPr>
        <w:t>Crosswalks for U.S. Counties and Congressional Districts, 1790–2020</w:t>
      </w:r>
      <w:r w:rsidRPr="00826BAF">
        <w:t>, which maps contemporary counties to historical boundaries and provides county centroid coordinates.</w:t>
      </w:r>
    </w:p>
    <w:p w14:paraId="1AB09663" w14:textId="77777777" w:rsidR="00826BAF" w:rsidRPr="00826BAF" w:rsidRDefault="00826BAF" w:rsidP="00826BAF">
      <w:r w:rsidRPr="00826BAF">
        <w:t xml:space="preserve">We aggregate counties into 1990 commuting zones using the U.S. Department of Agriculture Economic Research Service (2026), </w:t>
      </w:r>
      <w:r w:rsidRPr="00826BAF">
        <w:rPr>
          <w:i/>
          <w:iCs/>
        </w:rPr>
        <w:t>Commuting Zones and Labor Market Areas</w:t>
      </w:r>
      <w:r w:rsidRPr="00826BAF">
        <w:t xml:space="preserve"> dataset, consistent with the Tolbert and Sizer (1996) classification.</w:t>
      </w:r>
    </w:p>
    <w:p w14:paraId="038625A4" w14:textId="77777777" w:rsidR="00826BAF" w:rsidRPr="00826BAF" w:rsidRDefault="00826BAF" w:rsidP="00826BAF">
      <w:r w:rsidRPr="00826BAF">
        <w:t xml:space="preserve">Political outcomes are drawn from Amlani and </w:t>
      </w:r>
      <w:proofErr w:type="spellStart"/>
      <w:r w:rsidRPr="00826BAF">
        <w:t>Algara</w:t>
      </w:r>
      <w:proofErr w:type="spellEnd"/>
      <w:r w:rsidRPr="00826BAF">
        <w:t xml:space="preserve"> (2021), </w:t>
      </w:r>
      <w:r w:rsidRPr="00826BAF">
        <w:rPr>
          <w:i/>
          <w:iCs/>
        </w:rPr>
        <w:t>Partisanship &amp; Nationalization in American Elections, 1872–2020</w:t>
      </w:r>
      <w:r w:rsidRPr="00826BAF">
        <w:t>, which provides county-level presidential election returns used to construct Republican vote margins.</w:t>
      </w:r>
    </w:p>
    <w:p w14:paraId="4971D127" w14:textId="77777777" w:rsidR="00721FED" w:rsidRDefault="00721FED"/>
    <w:sectPr w:rsidR="00721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4015"/>
    <w:multiLevelType w:val="multilevel"/>
    <w:tmpl w:val="37620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546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AC4"/>
    <w:rsid w:val="006D64F6"/>
    <w:rsid w:val="00715AC4"/>
    <w:rsid w:val="00721FED"/>
    <w:rsid w:val="00826BAF"/>
    <w:rsid w:val="008C5092"/>
    <w:rsid w:val="00A04341"/>
    <w:rsid w:val="00C944DE"/>
    <w:rsid w:val="00EA4D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6178"/>
  <w15:chartTrackingRefBased/>
  <w15:docId w15:val="{01D7A477-8E43-464D-9FF8-BB2841683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AC4"/>
    <w:rPr>
      <w:rFonts w:eastAsiaTheme="majorEastAsia" w:cstheme="majorBidi"/>
      <w:color w:val="272727" w:themeColor="text1" w:themeTint="D8"/>
    </w:rPr>
  </w:style>
  <w:style w:type="paragraph" w:styleId="Title">
    <w:name w:val="Title"/>
    <w:basedOn w:val="Normal"/>
    <w:next w:val="Normal"/>
    <w:link w:val="TitleChar"/>
    <w:uiPriority w:val="10"/>
    <w:qFormat/>
    <w:rsid w:val="00715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AC4"/>
    <w:pPr>
      <w:spacing w:before="160"/>
      <w:jc w:val="center"/>
    </w:pPr>
    <w:rPr>
      <w:i/>
      <w:iCs/>
      <w:color w:val="404040" w:themeColor="text1" w:themeTint="BF"/>
    </w:rPr>
  </w:style>
  <w:style w:type="character" w:customStyle="1" w:styleId="QuoteChar">
    <w:name w:val="Quote Char"/>
    <w:basedOn w:val="DefaultParagraphFont"/>
    <w:link w:val="Quote"/>
    <w:uiPriority w:val="29"/>
    <w:rsid w:val="00715AC4"/>
    <w:rPr>
      <w:i/>
      <w:iCs/>
      <w:color w:val="404040" w:themeColor="text1" w:themeTint="BF"/>
    </w:rPr>
  </w:style>
  <w:style w:type="paragraph" w:styleId="ListParagraph">
    <w:name w:val="List Paragraph"/>
    <w:basedOn w:val="Normal"/>
    <w:uiPriority w:val="34"/>
    <w:qFormat/>
    <w:rsid w:val="00715AC4"/>
    <w:pPr>
      <w:ind w:left="720"/>
      <w:contextualSpacing/>
    </w:pPr>
  </w:style>
  <w:style w:type="character" w:styleId="IntenseEmphasis">
    <w:name w:val="Intense Emphasis"/>
    <w:basedOn w:val="DefaultParagraphFont"/>
    <w:uiPriority w:val="21"/>
    <w:qFormat/>
    <w:rsid w:val="00715AC4"/>
    <w:rPr>
      <w:i/>
      <w:iCs/>
      <w:color w:val="0F4761" w:themeColor="accent1" w:themeShade="BF"/>
    </w:rPr>
  </w:style>
  <w:style w:type="paragraph" w:styleId="IntenseQuote">
    <w:name w:val="Intense Quote"/>
    <w:basedOn w:val="Normal"/>
    <w:next w:val="Normal"/>
    <w:link w:val="IntenseQuoteChar"/>
    <w:uiPriority w:val="30"/>
    <w:qFormat/>
    <w:rsid w:val="00715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AC4"/>
    <w:rPr>
      <w:i/>
      <w:iCs/>
      <w:color w:val="0F4761" w:themeColor="accent1" w:themeShade="BF"/>
    </w:rPr>
  </w:style>
  <w:style w:type="character" w:styleId="IntenseReference">
    <w:name w:val="Intense Reference"/>
    <w:basedOn w:val="DefaultParagraphFont"/>
    <w:uiPriority w:val="32"/>
    <w:qFormat/>
    <w:rsid w:val="00715A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738</Words>
  <Characters>4211</Characters>
  <Application>Microsoft Office Word</Application>
  <DocSecurity>0</DocSecurity>
  <Lines>35</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Yana Samanta</dc:creator>
  <cp:keywords/>
  <dc:description/>
  <cp:lastModifiedBy>Yana Samanta</cp:lastModifiedBy>
  <cp:revision>4</cp:revision>
  <dcterms:created xsi:type="dcterms:W3CDTF">2026-05-08T13:04:00Z</dcterms:created>
  <dcterms:modified xsi:type="dcterms:W3CDTF">2026-05-10T18:58:00Z</dcterms:modified>
</cp:coreProperties>
</file>