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Our project’s research question is does exposure to the China trade shock affect political outcomes in the United States? If so, how do these effects evolve over time? The project examines whether commuting zones that were more exposed to rising Chinese import competition experienced different changes in Republican presidential vote margins than less-exposed commuting zones. The question is not only whether trade exposure mattered politically, but also when its effects appeared. For example, we hope to inform whether political shifts emerge immediately after the labor-market shock, during the Great Recession and Obama years, during the Trump era, or later during the COVID period. Shifts in timing matter because the political consequences of economic disruption may not appear at the same moment as the economic shock itself.</w:t>
      </w:r>
    </w:p>
    <w:p w:rsidR="00000000" w:rsidDel="00000000" w:rsidP="00000000" w:rsidRDefault="00000000" w:rsidRPr="00000000" w14:paraId="00000002">
      <w:pPr>
        <w:spacing w:after="240" w:before="240" w:lineRule="auto"/>
        <w:rPr/>
      </w:pPr>
      <w:r w:rsidDel="00000000" w:rsidR="00000000" w:rsidRPr="00000000">
        <w:rPr>
          <w:rtl w:val="0"/>
        </w:rPr>
        <w:t xml:space="preserve">Understanding this question is important because globalization may reshape political behavior along with the economy. If local labor-market losses from import competition contributed to changes in voting patterns, then trade policy may have broader consequences for democratic representation, polarization, and public support for protectionism. This may help explain why places hit hardest by manufacturing decline may respond differently to national political messages about trade, immigration, redistribution, and economic decline. The project is especially relevant for understanding the rise of geographic polarization in United States politics and the appeal of anti-globalization rhetoric in the Trump era.</w:t>
      </w:r>
    </w:p>
    <w:p w:rsidR="00000000" w:rsidDel="00000000" w:rsidP="00000000" w:rsidRDefault="00000000" w:rsidRPr="00000000" w14:paraId="00000003">
      <w:pPr>
        <w:spacing w:after="240" w:before="240" w:lineRule="auto"/>
        <w:rPr/>
      </w:pPr>
      <w:r w:rsidDel="00000000" w:rsidR="00000000" w:rsidRPr="00000000">
        <w:rPr>
          <w:rtl w:val="0"/>
        </w:rPr>
        <w:t xml:space="preserve">The question is also important because it connects local economic shocks to national political outcomes. A trade shock that lowers manufacturing employment may eventually influence turnout, party support, media consumption, and attitudes toward government intervention in affected regions. If these effects are persistent, then the consequences of globalization may extend beyond the original employment losses. Thus, studying these dynamics can help policymakers understand the extent of the effect of trade adjustment policies on political trust.</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