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aps/>
          <w:color w:val="E8A838"/>
          <w:sz w:val="18"/>
          <w:szCs w:val="18"/>
        </w:rPr>
        <w:t xml:space="preserve">CATEGORY MANAGER REPORT</w:t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Retail Customer Segmentation</w:t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&amp; A/B Test Evaluation</w:t>
      </w:r>
    </w:p>
    <w:p>
      <w:pPr>
        <w:pBdr>
          <w:bottom w:val="single" w:color="E8A838" w:sz="8" w:space="1"/>
        </w:pBdr>
        <w:spacing w:before="0" w:after="160"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Prepared for the chips category manager to inform shelf placement strategy and store layout rollout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~265,000 chip transactions · 272 stores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Period</w:t>
            </w:r>
          </w:p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July 2018 – June 2019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/>
            </w:pPr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Tools</w:t>
            </w:r>
          </w:p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Python · pandas · matplotlib · seaborn · scipy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Segments Analysed</w:t>
            </w:r>
          </w:p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21 (7 lifestages × 3 spending tiers)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2"/>
              <w:left w:val="single" w:color="E8A838" w:sz="24"/>
              <w:bottom w:val="single" w:color="E8A838" w:sz="12"/>
              <w:right w:val="single" w:color="E5E7EB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The new shelf layout drives meaningful sales uplift and should be rolled out chain-wide — with one exception (Store 86) that needs further investigation before scaling.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report is structured using the Pyramid Principle — the main answer comes first, followed by three supporting arguments, each backed by data.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00"/>
        <w:gridCol w:w="2920"/>
        <w:gridCol w:w="200"/>
        <w:gridCol w:w="2920"/>
      </w:tblGrid>
      <w:tr>
        <w:tc>
          <w:tcPr>
            <w:tcW w:type="dxa" w:w="2920"/>
            <w:tcBorders>
              <w:top w:val="single" w:color="E8A838" w:sz="12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A838"/>
                <w:sz w:val="18"/>
                <w:szCs w:val="18"/>
              </w:rPr>
              <w:t xml:space="preserve">Argument 1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Mainstream Young Singles/ Couples are the key target segment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20"/>
            <w:tcBorders>
              <w:top w:val="single" w:color="1B2A4A" w:sz="12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Argument 2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Trial stores 77 &amp; 88 showed significant uplift in sales and customers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20"/>
            <w:tcBorders>
              <w:top w:val="single" w:color="6B7280" w:sz="12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Argument 3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Store 86 needs investigation — customers rose but sales did not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1 — Customer Segmentation Analysis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which customer segments drive chip sales and why — using transaction data merged with loyalty card profiles across 21 segments.</w:t>
      </w:r>
    </w:p>
    <w:p>
      <w:pPr>
        <w:spacing w:before="1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Data Preparation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analysis, the following cleaning steps were applied: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Fixed DATE column from Excel serial integer format using origin 1899-12-30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Removed salsa products — incorrectly included in the chip category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Removed loyalty card 226000 — bought 200 packs twice (bulk/commercial buyer, not retail)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 25 showed zero transactions — confirmed as Christmas Day store closure, not a data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Engineered PACK_SIZE by extracting grams from product name using regex (range: 70g to 380g)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Engineered BRAND from first word of product name — fixed aliases (SMITH→SMITHS, WW→WOOLWORTHS, DORITO→DORITOS etc.)</w:t>
      </w:r>
    </w:p>
    <w:p>
      <w:pPr>
        <w:spacing w:before="16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Who Drives Chip Sales?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sales, unique customer counts, average units per customer, and average price per unit were calculated across all 21 segments.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Top Segment by Revenue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Budget
Older Families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High units per customer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3rd Segment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Mainstream
Retirees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Large segment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2nd Segment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Mainstream
Young Singles/Couples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Large segment + pays more per pack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Total Segments Analysed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32"/>
                <w:szCs w:val="32"/>
              </w:rPr>
              <w:t xml:space="preserve">21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 lifestages × 3 spending tiers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distinction between the top segments: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Mainstream Young Singles/Couples and Retirees: high revenue is driven by the number of customers in these segments — not by high spend per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Older Families: high revenue is driven by more units purchased per customer — they buy in bulk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1.3 Price Per Unit — Statistical Test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Mainstream young and midage singles/couples appeared to pay more per pack than Budget and Premium counterparts. A Welch's t-test was run to confirm this.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Mainstream avg price/unit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$4.04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Young &amp; midage singles/couples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t-statistic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37.83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One-tailed Welch's t-test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Others avg price/unit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32"/>
                <w:szCs w:val="32"/>
              </w:rPr>
              <w:t xml:space="preserve">$3.71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Budget + Premium same lifestages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p-value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D7D52"/>
                <w:sz w:val="32"/>
                <w:szCs w:val="32"/>
              </w:rPr>
              <w:t xml:space="preserve">&lt; 1.12e-309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Statistically significant (p &lt; 0.05)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difference is statistically significant. Mainstream young and midage singles pay meaningfully more per pack compared to their Budget and Premium counterparts. This is consistent with impulse buying behaviour — they are less price-conscious when choosing chips.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1.4 Deep Dive — Mainstream Young Singles/Couples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segment is a top revenue contributor and pays a premium per pack. Brand affinity and pack size affinity were calculated by comparing this segment's purchase proportions against the rest of the population.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Affinity index &gt; 1.0 = more likely to buy than the average customer. Affinity index &lt; 1.0 = less likely.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Brand Affinity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Affinity Index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Population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Tyrrells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1.24x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52"/>
                <w:sz w:val="20"/>
                <w:szCs w:val="20"/>
              </w:rPr>
              <w:t xml:space="preserve">+23%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Over-index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Twisties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1.23x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52"/>
                <w:sz w:val="20"/>
                <w:szCs w:val="20"/>
              </w:rPr>
              <w:t xml:space="preserve">+23%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Over-index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Kettle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1.20x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52"/>
                <w:sz w:val="20"/>
                <w:szCs w:val="20"/>
              </w:rPr>
              <w:t xml:space="preserve">+20%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Over-index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Tostitos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1.20x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52"/>
                <w:sz w:val="20"/>
                <w:szCs w:val="20"/>
              </w:rPr>
              <w:t xml:space="preserve">+20%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52"/>
                <w:sz w:val="20"/>
                <w:szCs w:val="20"/>
              </w:rPr>
              <w:t xml:space="preserve">Over-index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Burger Rings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0.45x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−55%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Under-index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Woolworths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0.49x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−51%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Under-index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segment is 23% more likely to buy Tyrrells and Twisties compared to all other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They are 55% less likely to buy Burger Rings — strongly under-indexed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preference for 270g packs maps entirely to Twisties — only brand offering that size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1.5 Recommendation — Part 1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2"/>
              <w:left w:val="single" w:color="E8A838" w:sz="24"/>
              <w:bottom w:val="single" w:color="E8A838" w:sz="12"/>
              <w:right w:val="single" w:color="E5E7EB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Off-locate Tyrrells and larger packs (270g, 380g) near checkout lanes and the beverage aisle to capture impulse purchases from Mainstream Young Singles/Couples.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Rationale: this segment pays more per pack, shows clear brand preferences, and is likely buying on impulse rather than from a planned list. Increasing visibility near high-traffic areas will drive conversion without requiring price changes.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2 — A/B Test Evaluation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77, 86, and 88 were selected by the client to trial a new chip shelf layout from February to April 2019. The goal was to measure whether the layout change drove meaningful uplift in sales and customer numbers.</w:t>
      </w:r>
    </w:p>
    <w:p>
      <w:pPr>
        <w:spacing w:before="1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A/B Test Structure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E8A838" w:sz="12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Group A —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77, 86, 88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chip shelf layout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Feb – Apr 2019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VS</w:t>
            </w:r>
          </w:p>
        </w:tc>
        <w:tc>
          <w:tcPr>
            <w:tcW w:type="dxa" w:w="4500"/>
            <w:tcBorders>
              <w:top w:val="single" w:color="1B2A4A" w:sz="12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Group B — Control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Matched stores 233, 155, 237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Kept old layout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period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Note: stores were pre-selected by the client rather than randomly assigned. A matching algorithm was built to identify control stores that most closely resembled the trial stores before the trial began — making the comparison fair. This is a quasi-experimental A/B test.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Control Store Selection Method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stores with 12 complete months of pre-trial data were eligible as control candidates (259 out of 272 stores). Each candidate was scored on two dimensions: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Trend similarity: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Pearson Correlation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How similar is the store's monthly pattern to the trial store? Captures direction and timing.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Level similarity: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Normalised Magnitude Distance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How similar is the absolute sales/customer level? Normalised 0 to 1 so all stores are comparable.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score = equal weight average of both scores across total sales and total customers. The highest-scoring store (excluding the trial store itself) was selected as control.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A/B Test Results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20"/>
        <w:gridCol w:w="2520"/>
        <w:gridCol w:w="192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Store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Store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Uplift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Uplift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233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52"/>
                <w:sz w:val="20"/>
                <w:szCs w:val="20"/>
              </w:rPr>
              <w:t xml:space="preserve">Significant (Mar + Apr)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52"/>
                <w:sz w:val="20"/>
                <w:szCs w:val="20"/>
              </w:rPr>
              <w:t xml:space="preserve">Significant (Mar + Apr)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52"/>
                <w:sz w:val="20"/>
                <w:szCs w:val="20"/>
              </w:rPr>
              <w:t xml:space="preserve">Roll out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155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Not significant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52"/>
                <w:sz w:val="20"/>
                <w:szCs w:val="20"/>
              </w:rPr>
              <w:t xml:space="preserve">Significant (all 3 months)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Investigate first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237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52"/>
                <w:sz w:val="20"/>
                <w:szCs w:val="20"/>
              </w:rPr>
              <w:t xml:space="preserve">Significant (Mar + Apr)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52"/>
                <w:sz w:val="20"/>
                <w:szCs w:val="20"/>
              </w:rPr>
              <w:t xml:space="preserve">Significant (Mar + Apr)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52"/>
                <w:sz w:val="20"/>
                <w:szCs w:val="20"/>
              </w:rPr>
              <w:t xml:space="preserve">Roll out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Testing method: scaled t-test comparing trial months (Feb–Apr 2019) against the pre-trial standard deviation. Significance level: 95% (t-critical with 7 degrees of freedom).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2.4 Store-by-Store Analysis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Store 77 vs Control 233 — Trial worked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Sales uplift was statistically significant in March and April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numbers were significantly higher in March and April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metrics exceed the 95% confidence interval of the control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Verdict: the new shelf layout had a clear positive effect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Store 86 vs Control 155 — Partial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numbers increased significantly across all three trial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Sales did NOT increase significantly in any trial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Possible explanation: promotional pricing may have run during the trial, pulling average spend 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Verdict: more customers came in, but the revenue benefit did not materialise — investigate before scaling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Store 88 vs Control 237 — Trial worked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Sales uplift was statistically significant in March and April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numbers were significantly higher in March and April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Results consistent with Store 77 — layout change drove meaningful uplift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Verdict: the new shelf layout had a clear positive effect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2.5 Recommendations — Part 2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2"/>
              <w:left w:val="single" w:color="E8A838" w:sz="24"/>
              <w:bottom w:val="single" w:color="E8A838" w:sz="12"/>
              <w:right w:val="single" w:color="E5E7EB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Roll out the new shelf layout chain-wide based on evidence from Stores 77 and 88. Investigate Store 86 separately before including similar stores in the rollout.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77 and 88 showed statistically significant uplift in both sales and customers across 2 of 3 trial months — the A/B test result is positive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86 showed a customer uplift without a corresponding sales uplift. Check with the category manager whether any promotional discounts were running during the trial period at that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Store 86's sales anomaly is explained by promotional pricing, it should be retested under normal trading conditions before being included in the rollout plan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Summary of Recommendations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using the Pyramid Principle — answer first, evidence below.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A8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Part 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Shelf Placement Strategy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Off-locate Tyrrells and larger packs (270g, 380g) near checkout and beverage aisles to drive impulse purchases from Mainstream Young Singles/Couples — they over-index on these brands and pay more per pack.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Roll Out Stores 77 &amp; 88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stores showed significant uplift in sales and customers in 2 of 3 trial months. The A/B test confirms the layout works — recommend chain-wide rollout.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Investigate Store 86 Before Scaling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numbers increased but sales did not. Likely caused by promotional pricing during the trial. Investigate before applying rollout to Store 86-type stores.</w:t>
            </w:r>
          </w:p>
        </w:tc>
      </w:tr>
    </w:tbl>
    <w:p>
      <w:pPr>
        <w:spacing w:before="3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Retail Analytics Project  |  Python · pandas · scipy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Retail Customer Segmentation &amp; A/B Test Evaluation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Category Manager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838" w:sz="6" w:space="4"/>
      </w:pBdr>
      <w:spacing w:before="32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2026-03-19T09:02:08.076Z</dcterms:created>
  <dcterms:modified xsi:type="dcterms:W3CDTF">2026-03-19T09:02:08.077Z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