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OFFER BANK — ACADEMIC WRITING BOOTCAMP</w:t>
      </w:r>
    </w:p>
    <w:p>
      <w:pPr>
        <w:pStyle w:val="Heading2"/>
        <w:jc w:val="center"/>
      </w:pPr>
      <w:r>
        <w:t>SkillArbitrage | 8th Batch</w:t>
      </w:r>
    </w:p>
    <w:p/>
    <w:p>
      <w:r>
        <w:rPr>
          <w:b/>
        </w:rPr>
        <w:t xml:space="preserve">How to use this Offer Bank: </w:t>
      </w:r>
      <w:r>
        <w:t>Each offer is a ready-to-customise service pitch. Pick the offer(s) that match your background, skills, and the type of client you want to approach. Personalise the headline and deliverables to match what you can actually deliver. Start with 2–3 offers. As you build your track record, expand to more. Every offer in this bank has been verified against genuine, active demand on Upwork, Kolabtree, Fiverr, or Reedsy.</w:t>
      </w:r>
    </w:p>
    <w:p>
      <w:r>
        <w:br w:type="page"/>
      </w:r>
    </w:p>
    <w:p>
      <w:pPr>
        <w:pStyle w:val="Heading1"/>
      </w:pPr>
      <w:r>
        <w:t>OFFER 1 — JOURNAL MANUSCRIPT EDITING &amp; SUBMISSION SUPPORT</w:t>
      </w:r>
    </w:p>
    <w:p>
      <w:pPr>
        <w:pStyle w:val="Heading2"/>
      </w:pPr>
      <w:r>
        <w:t>OFFER 1A — For Indian University Researchers and Faculty Publishing in International English-Language Journals</w:t>
      </w:r>
    </w:p>
    <w:p>
      <w:pPr>
        <w:spacing w:before="120" w:after="280"/>
      </w:pPr>
      <w:r>
        <w:rPr>
          <w:b/>
          <w:i/>
          <w:sz w:val="23"/>
        </w:rPr>
        <w:t>"I Help Indian Researchers and Faculty Turn Rejected or Stalled Manuscripts Into Submission-Ready Papers That International Journals Accept — If Your Manuscript Is Not Submission-Ready in 14 Days, You Get the Next Edit Free"</w:t>
      </w:r>
    </w:p>
    <w:p>
      <w:pPr>
        <w:pStyle w:val="Heading3"/>
      </w:pPr>
      <w:r>
        <w:t>WHAT YOU WILL DELIVER</w:t>
      </w:r>
    </w:p>
    <w:p>
      <w:pPr>
        <w:pStyle w:val="Heading4"/>
      </w:pPr>
      <w:r>
        <w:t>1. Substantive Manuscript Editing (Language + Argument + Structure)</w:t>
      </w:r>
    </w:p>
    <w:p>
      <w:pPr>
        <w:pStyle w:val="ListBullet"/>
      </w:pPr>
      <w:r>
        <w:t>Read the complete manuscript end-to-end and provide a top-level structural assessment: does the paper tell a clear scientific story? Is the argument logical? Does the conclusion actually follow from the results?</w:t>
      </w:r>
    </w:p>
    <w:p>
      <w:pPr>
        <w:pStyle w:val="ListBullet"/>
      </w:pPr>
      <w:r>
        <w:t>Restructure sections where necessary — ensuring the Introduction motivates the study, the Methods are reproducible, the Results are clearly presented, and the Discussion interprets findings without overstating them</w:t>
      </w:r>
    </w:p>
    <w:p>
      <w:pPr>
        <w:pStyle w:val="ListBullet"/>
      </w:pPr>
      <w:r>
        <w:t>Rewrite for precision: eliminate the informal phrasing and conversational English patterns common in Indian academic drafts, correct tense consistency, ensure every technical term is used uniformly throughout</w:t>
      </w:r>
    </w:p>
    <w:p>
      <w:pPr>
        <w:pStyle w:val="ListBullet"/>
      </w:pPr>
      <w:r>
        <w:t>Strengthen the Discussion section: identify where the interpretation is too conservative or too speculative — and rewrite to match what international reviewers expect</w:t>
      </w:r>
    </w:p>
    <w:p>
      <w:pPr>
        <w:pStyle w:val="ListBullet"/>
      </w:pPr>
      <w:r>
        <w:t>Deliver two clean versions: a tracked changes version showing every edit, and a clean version ready to send to co-authors</w:t>
      </w:r>
    </w:p>
    <w:p>
      <w:pPr>
        <w:spacing w:before="80" w:after="280"/>
      </w:pPr>
      <w:r>
        <w:rPr>
          <w:b/>
          <w:i/>
        </w:rPr>
        <w:t xml:space="preserve">How This Helps: </w:t>
      </w:r>
      <w:r>
        <w:rPr>
          <w:i/>
        </w:rPr>
        <w:t>Indian researchers are among the most prolific in the world by volume — but international journals still reject Indian manuscripts at a disproportionately high rate at the language and argumentation stage. The issue is not proficiency in English — it is the specific precision and argumentation style that international peer reviewers expect. This is a skill rarely taught in Indian academic institutions. When the manuscript reads to that standard, the science is evaluated on its own merit.</w:t>
      </w:r>
    </w:p>
    <w:p>
      <w:pPr>
        <w:pStyle w:val="Heading4"/>
      </w:pPr>
      <w:r>
        <w:t>2. Journal Selection &amp; Submission Strategy</w:t>
      </w:r>
    </w:p>
    <w:p>
      <w:pPr>
        <w:pStyle w:val="ListBullet"/>
      </w:pPr>
      <w:r>
        <w:t>Analyse the manuscript's scope, methodology, novelty, and target audience to identify the 5–8 most appropriate journals — balancing ambition with realistic likelihood of acceptance</w:t>
      </w:r>
    </w:p>
    <w:p>
      <w:pPr>
        <w:pStyle w:val="ListBullet"/>
      </w:pPr>
      <w:r>
        <w:t>Cross-check every candidate journal against Scopus, Web of Science, and the UGC-CARE list — ensuring the journals are indexed and count toward UGC promotions, NAAC scores, and NIRF rankings</w:t>
      </w:r>
    </w:p>
    <w:p>
      <w:pPr>
        <w:pStyle w:val="ListBullet"/>
      </w:pPr>
      <w:r>
        <w:t>Research each candidate journal: acceptance rate, average review timeline, editorial focus, and recent papers on similar topics</w:t>
      </w:r>
    </w:p>
    <w:p>
      <w:pPr>
        <w:pStyle w:val="ListBullet"/>
      </w:pPr>
      <w:r>
        <w:t>Prepare a prioritised submission sequence: which journal to try first, which to escalate to if rejected, and which to fall back to — so no time is wasted reformatting after each rejection</w:t>
      </w:r>
    </w:p>
    <w:p>
      <w:pPr>
        <w:pStyle w:val="ListBullet"/>
      </w:pPr>
      <w:r>
        <w:t>Format the manuscript fully for the first target journal: stylesheet compliance, citation format, reference list, figure and table specs, word count, supplementary file packaging</w:t>
      </w:r>
    </w:p>
    <w:p>
      <w:pPr>
        <w:spacing w:before="80" w:after="280"/>
      </w:pPr>
      <w:r>
        <w:rPr>
          <w:b/>
          <w:i/>
        </w:rPr>
        <w:t xml:space="preserve">How This Helps: </w:t>
      </w:r>
      <w:r>
        <w:rPr>
          <w:i/>
        </w:rPr>
        <w:t>Indian researchers frequently lose months submitting to the wrong journals — either journals outside their research scope, or journals not indexed in Scopus or WoS that don't count for UGC promotions or NAAC scores. When journal selection is done systematically — with both scope fit and indexing status in mind — every submission counts toward the researcher's institutional requirements and career.</w:t>
      </w:r>
    </w:p>
    <w:p>
      <w:pPr>
        <w:pStyle w:val="Heading4"/>
      </w:pPr>
      <w:r>
        <w:t>3. Cover Letter &amp; Submission Package Preparation</w:t>
      </w:r>
    </w:p>
    <w:p>
      <w:pPr>
        <w:pStyle w:val="ListBullet"/>
      </w:pPr>
      <w:r>
        <w:t>Write a personalised cover letter to the journal editor explaining why this manuscript fits the journal's scope, what is novel about the findings, and why it deserves the editor's attention</w:t>
      </w:r>
    </w:p>
    <w:p>
      <w:pPr>
        <w:pStyle w:val="ListBullet"/>
      </w:pPr>
      <w:r>
        <w:t>Prepare all required submission attachments: title page with affiliations, conflict of interest declarations, author contribution statements, funding declarations, ethics approval references, and data availability statements</w:t>
      </w:r>
    </w:p>
    <w:p>
      <w:pPr>
        <w:pStyle w:val="ListBullet"/>
      </w:pPr>
      <w:r>
        <w:t>Draft recommended reviewer suggestions per the journal's submission requirements</w:t>
      </w:r>
    </w:p>
    <w:p>
      <w:pPr>
        <w:pStyle w:val="ListBullet"/>
      </w:pPr>
      <w:r>
        <w:t>Compile graphical abstract instructions, highlights, and lay summary if the target journal requires them</w:t>
      </w:r>
    </w:p>
    <w:p>
      <w:pPr>
        <w:spacing w:before="80" w:after="280"/>
      </w:pPr>
      <w:r>
        <w:rPr>
          <w:b/>
          <w:i/>
        </w:rPr>
        <w:t xml:space="preserve">How This Helps: </w:t>
      </w:r>
      <w:r>
        <w:rPr>
          <w:i/>
        </w:rPr>
        <w:t>A weak cover letter is one of the top reasons editors desk-reject manuscripts. When the cover letter makes a compelling case for why this manuscript belongs in this journal specifically, the paper enters peer review with a clear advantage.</w:t>
      </w:r>
    </w:p>
    <w:p>
      <w:pPr>
        <w:pStyle w:val="Heading4"/>
      </w:pPr>
      <w:r>
        <w:t>4. Response to Reviewers &amp; Resubmission Support</w:t>
      </w:r>
    </w:p>
    <w:p>
      <w:pPr>
        <w:pStyle w:val="ListBullet"/>
      </w:pPr>
      <w:r>
        <w:t>After peer review comes back, read all reviewer comments alongside the original manuscript and the editor's decision letter</w:t>
      </w:r>
    </w:p>
    <w:p>
      <w:pPr>
        <w:pStyle w:val="ListBullet"/>
      </w:pPr>
      <w:r>
        <w:t>Prepare a point-by-point response document — quoting each reviewer comment, explaining how the manuscript was revised to address it, and indicating the exact page and line where the change was made</w:t>
      </w:r>
    </w:p>
    <w:p>
      <w:pPr>
        <w:pStyle w:val="ListBullet"/>
      </w:pPr>
      <w:r>
        <w:t>For comments the researcher cannot or chooses not to address, draft a respectful, evidence-backed rebuttal explaining why the original approach is sound</w:t>
      </w:r>
    </w:p>
    <w:p>
      <w:pPr>
        <w:pStyle w:val="ListBullet"/>
      </w:pPr>
      <w:r>
        <w:t>Revise the manuscript to incorporate all agreed-upon changes — maintaining language consistency with the original edited version</w:t>
      </w:r>
    </w:p>
    <w:p>
      <w:pPr>
        <w:pStyle w:val="ListBullet"/>
      </w:pPr>
      <w:r>
        <w:t>Prepare the resubmission cover letter to the editor</w:t>
      </w:r>
    </w:p>
    <w:p>
      <w:pPr>
        <w:spacing w:before="80" w:after="280"/>
      </w:pPr>
      <w:r>
        <w:rPr>
          <w:b/>
          <w:i/>
        </w:rPr>
        <w:t xml:space="preserve">How This Helps: </w:t>
      </w:r>
      <w:r>
        <w:rPr>
          <w:i/>
        </w:rPr>
        <w:t>Indian researchers often receive revise-and-resubmit decisions but lose the paper at the response stage — either because the response document does not follow the expected format, or because reviewer comments are addressed defensively rather than diplomatically. A well-written response converts revise-and-resubmit into accepted instead of another 4-month cycle.</w:t>
      </w:r>
    </w:p>
    <w:p>
      <w:pPr>
        <w:pStyle w:val="Heading4"/>
      </w:pPr>
      <w:r>
        <w:t>5. Plagiarism &amp; Pre-Submission Quality Check</w:t>
      </w:r>
    </w:p>
    <w:p>
      <w:pPr>
        <w:pStyle w:val="ListBullet"/>
      </w:pPr>
      <w:r>
        <w:t>Run the manuscript through iThenticate or Turnitin to check for unintentional overlap with previously published work — including the researcher's own papers (self-plagiarism)</w:t>
      </w:r>
    </w:p>
    <w:p>
      <w:pPr>
        <w:pStyle w:val="ListBullet"/>
      </w:pPr>
      <w:r>
        <w:t>Verify all in-text citations appear in the reference list and that every reference is cited in the text</w:t>
      </w:r>
    </w:p>
    <w:p>
      <w:pPr>
        <w:pStyle w:val="ListBullet"/>
      </w:pPr>
      <w:r>
        <w:t>Check all figure captions, table titles, and equations for numbering consistency</w:t>
      </w:r>
    </w:p>
    <w:p>
      <w:pPr>
        <w:pStyle w:val="ListBullet"/>
      </w:pPr>
      <w:r>
        <w:t>Confirm all journal-specific declarations are completed correctly</w:t>
      </w:r>
    </w:p>
    <w:p>
      <w:pPr>
        <w:pStyle w:val="ListBullet"/>
      </w:pPr>
      <w:r>
        <w:t>Deliver a final pre-submission checklist confirming the manuscript meets every technical requirement of the target journal</w:t>
      </w:r>
    </w:p>
    <w:p>
      <w:pPr>
        <w:spacing w:before="80" w:after="280"/>
      </w:pPr>
      <w:r>
        <w:rPr>
          <w:b/>
          <w:i/>
        </w:rPr>
        <w:t xml:space="preserve">How This Helps: </w:t>
      </w:r>
      <w:r>
        <w:rPr>
          <w:i/>
        </w:rPr>
        <w:t>Plagiarism checks are mandatory for all Indian institutions and most international journals. Unintentional overlap — especially in methods sections where researchers reuse language from their own previous papers — is a common issue that triggers automatic rejection. A clean pre-submission check ensures the paper is not rejected for any technical reason before peer reviewers even see it.</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Manuscript submitted to a journal not indexed in Scopus or UGC-CARE — publication doesn't count for promotion</w:t>
            </w:r>
          </w:p>
        </w:tc>
        <w:tc>
          <w:tcPr>
            <w:tcW w:type="dxa" w:w="4320"/>
          </w:tcPr>
          <w:p>
            <w:r>
              <w:t>Every target journal verified against Scopus, WoS, and UGC-CARE before submission — every publication counts</w:t>
            </w:r>
          </w:p>
        </w:tc>
      </w:tr>
      <w:tr>
        <w:tc>
          <w:tcPr>
            <w:tcW w:type="dxa" w:w="4320"/>
          </w:tcPr>
          <w:p>
            <w:r>
              <w:t>Manuscript desk-rejected with reviewer comment "English requires significant improvement"</w:t>
            </w:r>
          </w:p>
        </w:tc>
        <w:tc>
          <w:tcPr>
            <w:tcW w:type="dxa" w:w="4320"/>
          </w:tcPr>
          <w:p>
            <w:r>
              <w:t>Manuscript passes desk review and reaches peer reviewers — language is to international journal standard</w:t>
            </w:r>
          </w:p>
        </w:tc>
      </w:tr>
      <w:tr>
        <w:tc>
          <w:tcPr>
            <w:tcW w:type="dxa" w:w="4320"/>
          </w:tcPr>
          <w:p>
            <w:r>
              <w:t>Researcher submits to 4–5 journals before finding the right scope fit, losing 8–12 months</w:t>
            </w:r>
          </w:p>
        </w:tc>
        <w:tc>
          <w:tcPr>
            <w:tcW w:type="dxa" w:w="4320"/>
          </w:tcPr>
          <w:p>
            <w:r>
              <w:t>Prioritised journal sequence prepared upfront — right journal, first submission, backup ready in 24 hours</w:t>
            </w:r>
          </w:p>
        </w:tc>
      </w:tr>
      <w:tr>
        <w:tc>
          <w:tcPr>
            <w:tcW w:type="dxa" w:w="4320"/>
          </w:tcPr>
          <w:p>
            <w:r>
              <w:t>Plagiarism check flags 25–35% similarity — submission rejected by journal system before review</w:t>
            </w:r>
          </w:p>
        </w:tc>
        <w:tc>
          <w:tcPr>
            <w:tcW w:type="dxa" w:w="4320"/>
          </w:tcPr>
          <w:p>
            <w:r>
              <w:t>Pre-submission iThenticate check clears similarity issues before they reach the journal</w:t>
            </w:r>
          </w:p>
        </w:tc>
      </w:tr>
      <w:tr>
        <w:tc>
          <w:tcPr>
            <w:tcW w:type="dxa" w:w="4320"/>
          </w:tcPr>
          <w:p>
            <w:r>
              <w:t>Reviewer response document is poorly structured — second round of major revisions triggered</w:t>
            </w:r>
          </w:p>
        </w:tc>
        <w:tc>
          <w:tcPr>
            <w:tcW w:type="dxa" w:w="4320"/>
          </w:tcPr>
          <w:p>
            <w:r>
              <w:t>Point-by-point response delivered in 5–7 days — revisions submitted on time and accepted</w:t>
            </w:r>
          </w:p>
        </w:tc>
      </w:tr>
      <w:tr>
        <w:tc>
          <w:tcPr>
            <w:tcW w:type="dxa" w:w="4320"/>
          </w:tcPr>
          <w:p>
            <w:r>
              <w:t>Research sits unpublished — affecting promotion score, NAAC grade, and grant eligibility</w:t>
            </w:r>
          </w:p>
        </w:tc>
        <w:tc>
          <w:tcPr>
            <w:tcW w:type="dxa" w:w="4320"/>
          </w:tcPr>
          <w:p>
            <w:r>
              <w:t>Research published in indexed journal — promotion criteria met, institutional ranking improved, next grant stronger</w:t>
            </w:r>
          </w:p>
        </w:tc>
      </w:tr>
    </w:tbl>
    <w:p/>
    <w:p>
      <w:pPr>
        <w:pStyle w:val="Heading3"/>
      </w:pPr>
      <w:r>
        <w:t>WHO YOU SERVE</w:t>
      </w:r>
    </w:p>
    <w:p>
      <w:r>
        <w:t>Your target client is a faculty member, postdoctoral researcher, or senior PhD candidate at an Indian university — IITs, NITs, central universities, or state universities — who is under institutional pressure to publish in Scopus or Web of Science indexed journals. Publication is mandatory for UGC promotions, for PhD completion at many universities, and for improving their institution's NAAC score and NIRF ranking. They have completed the research. The science is sound. But their manuscripts are rejected at the language review stage or returned by reviewers asking for significant English revision — not because their ideas are wrong, but because the formal academic writing style expected by international journals is a specific skill rarely taught in Indian academic programmes.</w:t>
      </w:r>
    </w:p>
    <w:p>
      <w:pPr>
        <w:pStyle w:val="Heading3"/>
      </w:pPr>
      <w:r>
        <w:t>THE GUARANTEE</w:t>
      </w:r>
    </w:p>
    <w:p>
      <w:r>
        <w:rPr>
          <w:b/>
        </w:rPr>
        <w:t>Your manuscript will be submission-ready within 14 days of receiving your complete files — including all five deliverables above. If it is not, you receive your next manuscript edit at no cost.</w:t>
      </w:r>
    </w:p>
    <w:p>
      <w:r>
        <w:rPr>
          <w:b/>
        </w:rPr>
        <w:t xml:space="preserve">Additionally: </w:t>
      </w:r>
      <w:r>
        <w:t>If the manuscript is desk-rejected for any reason within the scope of this service — language quality, formatting non-compliance, cover letter weakness, or journal scope mismatch from the prioritised list — the next round of editing and submission preparation to an alternative journal is included free of charge.</w:t>
      </w:r>
    </w:p>
    <w:p>
      <w:r>
        <w:br w:type="page"/>
      </w:r>
    </w:p>
    <w:p>
      <w:pPr>
        <w:pStyle w:val="Heading2"/>
      </w:pPr>
      <w:r>
        <w:t>OFFER 1B — For Turkish University Faculty and PhD Candidates Submitting to SCI/SSCI International Journals</w:t>
      </w:r>
    </w:p>
    <w:p>
      <w:pPr>
        <w:spacing w:before="120" w:after="280"/>
      </w:pPr>
      <w:r>
        <w:rPr>
          <w:b/>
          <w:i/>
          <w:sz w:val="23"/>
        </w:rPr>
        <w:t>"I Help Turkish Faculty and Researchers Turn Stalled Manuscripts Into SCI/SSCI Submission-Ready Papers That Pass YÖK Promotion and TÜBİTAK Grant Reporting Requirements — If Your Manuscript Is Not Submission-Ready in 14 Days, You Get the Next Edit Free"</w:t>
      </w:r>
    </w:p>
    <w:p>
      <w:pPr>
        <w:pStyle w:val="Heading3"/>
      </w:pPr>
      <w:r>
        <w:t>WHAT YOU WILL DELIVER</w:t>
      </w:r>
    </w:p>
    <w:p>
      <w:pPr>
        <w:pStyle w:val="Heading4"/>
      </w:pPr>
      <w:r>
        <w:t>1. Substantive Manuscript Editing (Language + Argument + Structure)</w:t>
      </w:r>
    </w:p>
    <w:p>
      <w:pPr>
        <w:pStyle w:val="ListBullet"/>
      </w:pPr>
      <w:r>
        <w:t>Read the complete manuscript end-to-end and provide a top-level structural assessment: does the paper present a clear scientific argument? Is the methodology defensible? Does the conclusion follow from the data?</w:t>
      </w:r>
    </w:p>
    <w:p>
      <w:pPr>
        <w:pStyle w:val="ListBullet"/>
      </w:pPr>
      <w:r>
        <w:t>Restructure sections — ensuring the Introduction frames the research gap, the Methods are reproducible by international standards, the Results are presented without commentary, and the Discussion connects findings to existing literature</w:t>
      </w:r>
    </w:p>
    <w:p>
      <w:pPr>
        <w:pStyle w:val="ListBullet"/>
      </w:pPr>
      <w:r>
        <w:t>Rewrite for clarity: eliminate the direct-translation patterns common in Turkish academic drafts, correct article usage and tense shifts, replace overly formal Latinate vocabulary with the natural register international journals expect</w:t>
      </w:r>
    </w:p>
    <w:p>
      <w:pPr>
        <w:pStyle w:val="ListBullet"/>
      </w:pPr>
      <w:r>
        <w:t>Strengthen the Discussion: identify where claims are stronger than the evidence supports, where the literature comparison is too narrow, or where the practical implications are undersold</w:t>
      </w:r>
    </w:p>
    <w:p>
      <w:pPr>
        <w:pStyle w:val="ListBullet"/>
      </w:pPr>
      <w:r>
        <w:t>Deliver tracked changes and clean versions for co-author review</w:t>
      </w:r>
    </w:p>
    <w:p>
      <w:pPr>
        <w:spacing w:before="80" w:after="280"/>
      </w:pPr>
      <w:r>
        <w:rPr>
          <w:b/>
          <w:i/>
        </w:rPr>
        <w:t xml:space="preserve">How This Helps: </w:t>
      </w:r>
      <w:r>
        <w:rPr>
          <w:i/>
        </w:rPr>
        <w:t>Turkish researchers consistently report that English language quality is the single most common reason their manuscripts are desk-rejected at SCI/SSCI journals — even when the underlying science is strong. Turkish-to-English translation patterns (article omission, complex passive constructions, direct vocabulary substitution) are recognisable to reviewers and trigger negative bias before the science is assessed. When the manuscript reads as if written in English natively, the science gets a fair evaluation.</w:t>
      </w:r>
    </w:p>
    <w:p>
      <w:pPr>
        <w:pStyle w:val="Heading4"/>
      </w:pPr>
      <w:r>
        <w:t>2. Journal Selection &amp; SCI/SSCI/Scopus Compliance Strategy</w:t>
      </w:r>
    </w:p>
    <w:p>
      <w:pPr>
        <w:pStyle w:val="ListBullet"/>
      </w:pPr>
      <w:r>
        <w:t>Identify the 5–8 most appropriate SCI/SSCI/Scopus-indexed journals — verified against the latest Clarivate JCR and Scopus CiteScore lists so publication counts for YÖK promotion points and TÜBİTAK grant outputs</w:t>
      </w:r>
    </w:p>
    <w:p>
      <w:pPr>
        <w:pStyle w:val="ListBullet"/>
      </w:pPr>
      <w:r>
        <w:t>Avoid journals flagged as predatory or removed from indexes — protecting the researcher's publication record from later YÖK disqualification</w:t>
      </w:r>
    </w:p>
    <w:p>
      <w:pPr>
        <w:pStyle w:val="ListBullet"/>
      </w:pPr>
      <w:r>
        <w:t>Research each candidate journal: acceptance rate, average review timeline, editorial focus, recent papers on related topics</w:t>
      </w:r>
    </w:p>
    <w:p>
      <w:pPr>
        <w:pStyle w:val="ListBullet"/>
      </w:pPr>
      <w:r>
        <w:t>Prepare a prioritised submission sequence so no time is wasted reformatting after each rejection</w:t>
      </w:r>
    </w:p>
    <w:p>
      <w:pPr>
        <w:pStyle w:val="ListBullet"/>
      </w:pPr>
      <w:r>
        <w:t>Format the manuscript fully for the first target journal: stylesheet compliance, citation format (Vancouver, APA, Elsevier, Springer, Wiley), reference list, figure and table specs, word count</w:t>
      </w:r>
    </w:p>
    <w:p>
      <w:pPr>
        <w:spacing w:before="80" w:after="280"/>
      </w:pPr>
      <w:r>
        <w:rPr>
          <w:b/>
          <w:i/>
        </w:rPr>
        <w:t xml:space="preserve">How This Helps: </w:t>
      </w:r>
      <w:r>
        <w:rPr>
          <w:i/>
        </w:rPr>
        <w:t>YÖK promotion criteria explicitly require publications in SCI, SSCI, AHCI, or ESCI indexed journals — and Scopus indexing matters for TÜBİTAK grant reporting. Submitting to journals that look prestigious but are not currently indexed wastes months and produces a publication that does not count toward the researcher's career goals. Systematic journal selection guarantees every submission moves the researcher closer to promotion.</w:t>
      </w:r>
    </w:p>
    <w:p>
      <w:pPr>
        <w:pStyle w:val="Heading4"/>
      </w:pPr>
      <w:r>
        <w:t>3. Cover Letter &amp; Submission Package Preparation</w:t>
      </w:r>
    </w:p>
    <w:p>
      <w:pPr>
        <w:pStyle w:val="ListBullet"/>
      </w:pPr>
      <w:r>
        <w:t>Write a personalised cover letter to the journal editor explaining why this manuscript fits the journal's scope, what is novel about the findings, and why it deserves editorial attention</w:t>
      </w:r>
    </w:p>
    <w:p>
      <w:pPr>
        <w:pStyle w:val="ListBullet"/>
      </w:pPr>
      <w:r>
        <w:t>Prepare all required submission attachments: title page with affiliations, conflict of interest declarations, author contribution statements, funding declarations (including TÜBİTAK grant numbers), ethics approval references, data availability statements</w:t>
      </w:r>
    </w:p>
    <w:p>
      <w:pPr>
        <w:pStyle w:val="ListBullet"/>
      </w:pPr>
      <w:r>
        <w:t>Draft recommended reviewer suggestions drawn from recent authors publishing in the target journal on adjacent topics</w:t>
      </w:r>
    </w:p>
    <w:p>
      <w:pPr>
        <w:pStyle w:val="ListBullet"/>
      </w:pPr>
      <w:r>
        <w:t>Compile graphical abstract, highlights, and lay summary if required</w:t>
      </w:r>
    </w:p>
    <w:p>
      <w:pPr>
        <w:spacing w:before="80" w:after="280"/>
      </w:pPr>
      <w:r>
        <w:rPr>
          <w:b/>
          <w:i/>
        </w:rPr>
        <w:t xml:space="preserve">How This Helps: </w:t>
      </w:r>
      <w:r>
        <w:rPr>
          <w:i/>
        </w:rPr>
        <w:t>A weak cover letter is one of the most common reasons editors desk-reject manuscripts before they reach peer review. When the cover letter makes a specific case for why this manuscript belongs in this journal, the paper enters review with a clear editorial tailwind.</w:t>
      </w:r>
    </w:p>
    <w:p>
      <w:pPr>
        <w:pStyle w:val="Heading4"/>
      </w:pPr>
      <w:r>
        <w:t>4. Response to Reviewers &amp; Resubmission Support</w:t>
      </w:r>
    </w:p>
    <w:p>
      <w:pPr>
        <w:pStyle w:val="ListBullet"/>
      </w:pPr>
      <w:r>
        <w:t>Read all reviewer comments alongside the original manuscript and the editor's decision letter</w:t>
      </w:r>
    </w:p>
    <w:p>
      <w:pPr>
        <w:pStyle w:val="ListBullet"/>
      </w:pPr>
      <w:r>
        <w:t>Prepare a point-by-point response document — quoting each reviewer comment, explaining how the manuscript was revised, and indicating the exact page and line of each change</w:t>
      </w:r>
    </w:p>
    <w:p>
      <w:pPr>
        <w:pStyle w:val="ListBullet"/>
      </w:pPr>
      <w:r>
        <w:t>For comments the researcher cannot or chooses not to address, draft a respectful, evidence-backed rebuttal</w:t>
      </w:r>
    </w:p>
    <w:p>
      <w:pPr>
        <w:pStyle w:val="ListBullet"/>
      </w:pPr>
      <w:r>
        <w:t>Revise the manuscript to incorporate all agreed-upon changes — maintaining language consistency with the original edit</w:t>
      </w:r>
    </w:p>
    <w:p>
      <w:pPr>
        <w:pStyle w:val="ListBullet"/>
      </w:pPr>
      <w:r>
        <w:t>Prepare the resubmission cover letter summarising the key revisions</w:t>
      </w:r>
    </w:p>
    <w:p>
      <w:pPr>
        <w:spacing w:before="80" w:after="280"/>
      </w:pPr>
      <w:r>
        <w:rPr>
          <w:b/>
          <w:i/>
        </w:rPr>
        <w:t xml:space="preserve">How This Helps: </w:t>
      </w:r>
      <w:r>
        <w:rPr>
          <w:i/>
        </w:rPr>
        <w:t>Turkish researchers often receive revise-and-resubmit decisions but lose papers at the response stage — either because the response document doesn't follow the expected format or because reviewer comments are addressed defensively rather than diplomatically. A well-written response converts revise-and-resubmit into accepted instead of another 4-month cycle.</w:t>
      </w:r>
    </w:p>
    <w:p>
      <w:pPr>
        <w:pStyle w:val="Heading4"/>
      </w:pPr>
      <w:r>
        <w:t>5. Plagiarism &amp; Pre-Submission Quality Check</w:t>
      </w:r>
    </w:p>
    <w:p>
      <w:pPr>
        <w:pStyle w:val="ListBullet"/>
      </w:pPr>
      <w:r>
        <w:t>Run the manuscript through iThenticate to check for unintentional overlap with previously published work — including the researcher's own previous papers (self-plagiarism)</w:t>
      </w:r>
    </w:p>
    <w:p>
      <w:pPr>
        <w:pStyle w:val="ListBullet"/>
      </w:pPr>
      <w:r>
        <w:t>Verify all in-text citations appear in the reference list and that every reference is cited in the text</w:t>
      </w:r>
    </w:p>
    <w:p>
      <w:pPr>
        <w:pStyle w:val="ListBullet"/>
      </w:pPr>
      <w:r>
        <w:t>Check all figure captions, table titles, and equations for numbering consistency</w:t>
      </w:r>
    </w:p>
    <w:p>
      <w:pPr>
        <w:pStyle w:val="ListBullet"/>
      </w:pPr>
      <w:r>
        <w:t>Confirm all journal-specific declarations and TÜBİTAK grant funding acknowledgements are completed correctly</w:t>
      </w:r>
    </w:p>
    <w:p>
      <w:pPr>
        <w:pStyle w:val="ListBullet"/>
      </w:pPr>
      <w:r>
        <w:t>Deliver a final pre-submission checklist confirming the manuscript meets every technical requirement of the target journal</w:t>
      </w:r>
    </w:p>
    <w:p>
      <w:pPr>
        <w:spacing w:before="80" w:after="280"/>
      </w:pPr>
      <w:r>
        <w:rPr>
          <w:b/>
          <w:i/>
        </w:rPr>
        <w:t xml:space="preserve">How This Helps: </w:t>
      </w:r>
      <w:r>
        <w:rPr>
          <w:i/>
        </w:rPr>
        <w:t>International journals run iThenticate or Turnitin on every submission. Unintentional overlap — particularly in methods sections where researchers reuse language from their own previous papers — triggers automatic rejection. A clean pre-submission check eliminates this risk entirely.</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Manuscript desk-rejected within 48 hours with reviewer comment about English language quality</w:t>
            </w:r>
          </w:p>
        </w:tc>
        <w:tc>
          <w:tcPr>
            <w:tcW w:type="dxa" w:w="4320"/>
          </w:tcPr>
          <w:p>
            <w:r>
              <w:t>Manuscript passes desk review — language reads natively in English and the science is evaluated on its merits</w:t>
            </w:r>
          </w:p>
        </w:tc>
      </w:tr>
      <w:tr>
        <w:tc>
          <w:tcPr>
            <w:tcW w:type="dxa" w:w="4320"/>
          </w:tcPr>
          <w:p>
            <w:r>
              <w:t>Researcher submits to journal not currently indexed in SCI/SSCI — publication does not count for YÖK promotion</w:t>
            </w:r>
          </w:p>
        </w:tc>
        <w:tc>
          <w:tcPr>
            <w:tcW w:type="dxa" w:w="4320"/>
          </w:tcPr>
          <w:p>
            <w:r>
              <w:t>Every target journal verified in the current SCI/SSCI/Scopus index — every publication counts toward promotion</w:t>
            </w:r>
          </w:p>
        </w:tc>
      </w:tr>
      <w:tr>
        <w:tc>
          <w:tcPr>
            <w:tcW w:type="dxa" w:w="4320"/>
          </w:tcPr>
          <w:p>
            <w:r>
              <w:t>Researcher loses 8–12 months cycling through 4–5 journals before finding the right scope fit</w:t>
            </w:r>
          </w:p>
        </w:tc>
        <w:tc>
          <w:tcPr>
            <w:tcW w:type="dxa" w:w="4320"/>
          </w:tcPr>
          <w:p>
            <w:r>
              <w:t>Prioritised journal sequence prepared upfront — right journal first, backup ready within 24 hours of any rejection</w:t>
            </w:r>
          </w:p>
        </w:tc>
      </w:tr>
      <w:tr>
        <w:tc>
          <w:tcPr>
            <w:tcW w:type="dxa" w:w="4320"/>
          </w:tcPr>
          <w:p>
            <w:r>
              <w:t>Reviewer response document is poorly structured or defensive — triggers a second round of major revisions</w:t>
            </w:r>
          </w:p>
        </w:tc>
        <w:tc>
          <w:tcPr>
            <w:tcW w:type="dxa" w:w="4320"/>
          </w:tcPr>
          <w:p>
            <w:r>
              <w:t>Point-by-point response delivered in 5–7 days — revisions submitted on time and accepted</w:t>
            </w:r>
          </w:p>
        </w:tc>
      </w:tr>
      <w:tr>
        <w:tc>
          <w:tcPr>
            <w:tcW w:type="dxa" w:w="4320"/>
          </w:tcPr>
          <w:p>
            <w:r>
              <w:t>Plagiarism check flags overlap with the researcher's own previous papers — submission rejected automatically</w:t>
            </w:r>
          </w:p>
        </w:tc>
        <w:tc>
          <w:tcPr>
            <w:tcW w:type="dxa" w:w="4320"/>
          </w:tcPr>
          <w:p>
            <w:r>
              <w:t>Pre-submission iThenticate check clears all similarity issues before they reach the journal</w:t>
            </w:r>
          </w:p>
        </w:tc>
      </w:tr>
      <w:tr>
        <w:tc>
          <w:tcPr>
            <w:tcW w:type="dxa" w:w="4320"/>
          </w:tcPr>
          <w:p>
            <w:r>
              <w:t>TÜBİTAK grant reporting deadlines pass without the required indexed publication output</w:t>
            </w:r>
          </w:p>
        </w:tc>
        <w:tc>
          <w:tcPr>
            <w:tcW w:type="dxa" w:w="4320"/>
          </w:tcPr>
          <w:p>
            <w:r>
              <w:t>Publications appear in target journals on schedule — grant outputs documented for the next funding application</w:t>
            </w:r>
          </w:p>
        </w:tc>
      </w:tr>
    </w:tbl>
    <w:p/>
    <w:p>
      <w:pPr>
        <w:pStyle w:val="Heading3"/>
      </w:pPr>
      <w:r>
        <w:t>WHO YOU SERVE</w:t>
      </w:r>
    </w:p>
    <w:p>
      <w:r>
        <w:t>Your target client is a Turkish university faculty member (assistant professor, associate professor, or research associate) at an institution such as METU, Boğaziçi, Istanbul Technical University, Bilkent, Hacettepe, or Ankara University. They are working toward YÖK promotion criteria, which explicitly require a specified number of publications in SCI, SSCI, AHCI, or ESCI indexed journals. Many also have TÜBİTAK research grants that require English-language indexed publications as outputs. They produce strong research in engineering, medicine, social sciences, or economics — but their manuscripts are rejected at the language stage because translating Turkish academic argumentation into native-register English is a specific craft that is rarely taught in Turkish PhD programmes.</w:t>
      </w:r>
    </w:p>
    <w:p>
      <w:pPr>
        <w:pStyle w:val="Heading3"/>
      </w:pPr>
      <w:r>
        <w:t>THE GUARANTEE</w:t>
      </w:r>
    </w:p>
    <w:p>
      <w:r>
        <w:rPr>
          <w:b/>
        </w:rPr>
        <w:t>Your manuscript will be submission-ready within 14 days of receiving your complete files — including all five deliverables above. If it is not, you receive your next manuscript edit at no cost.</w:t>
      </w:r>
    </w:p>
    <w:p>
      <w:r>
        <w:rPr>
          <w:b/>
        </w:rPr>
        <w:t xml:space="preserve">Additionally: </w:t>
      </w:r>
      <w:r>
        <w:t>If the manuscript is desk-rejected for any reason within the scope of this service — language quality, formatting non-compliance, cover letter weakness, or journal scope mismatch from the prioritised list — the next round of editing and submission preparation to an alternative journal is included free of charge.</w:t>
      </w:r>
    </w:p>
    <w:p>
      <w:r>
        <w:br w:type="page"/>
      </w:r>
    </w:p>
    <w:p>
      <w:pPr>
        <w:pStyle w:val="Heading1"/>
      </w:pPr>
      <w:r>
        <w:t>OFFER 2 — GRANT PROPOSAL WRITING</w:t>
      </w:r>
    </w:p>
    <w:p>
      <w:pPr>
        <w:pStyle w:val="Heading2"/>
      </w:pPr>
      <w:r>
        <w:t>OFFER 2A — For Executive Directors at Nonprofits and NGOs in the US, UK, Canada &amp; Australia</w:t>
      </w:r>
    </w:p>
    <w:p>
      <w:pPr>
        <w:spacing w:before="120" w:after="280"/>
      </w:pPr>
      <w:r>
        <w:rPr>
          <w:b/>
          <w:i/>
          <w:sz w:val="23"/>
        </w:rPr>
        <w:t>"I Help Executive Directors at Nonprofits and NGOs Write Foundation, Government, and International Grant Proposals That Win Funding — If Your Proposal Is Not Submission-Ready by Your Deadline, I Redo It at No Extra Cost"</w:t>
      </w:r>
    </w:p>
    <w:p>
      <w:pPr>
        <w:pStyle w:val="Heading3"/>
      </w:pPr>
      <w:r>
        <w:t>WHAT YOU WILL DELIVER</w:t>
      </w:r>
    </w:p>
    <w:p>
      <w:pPr>
        <w:pStyle w:val="Heading4"/>
      </w:pPr>
      <w:r>
        <w:t>1. Funding Landscape Research &amp; Strategic Alignment</w:t>
      </w:r>
    </w:p>
    <w:p>
      <w:pPr>
        <w:pStyle w:val="ListBullet"/>
      </w:pPr>
      <w:r>
        <w:t>Research and identify the top 8–12 grant opportunities that best match the organisation's mission, programme focus, geography, and budget size — community foundations, national foundations, government agencies (HUD, HRSA, CDC, USDA, DoE), and international funders (USAID, EU, UN agencies)</w:t>
      </w:r>
    </w:p>
    <w:p>
      <w:pPr>
        <w:pStyle w:val="ListBullet"/>
      </w:pPr>
      <w:r>
        <w:t>Cross-reference each opportunity against the organisation's existing work — identifying where the programme's outcomes directly match what each funder is currently prioritising</w:t>
      </w:r>
    </w:p>
    <w:p>
      <w:pPr>
        <w:pStyle w:val="ListBullet"/>
      </w:pPr>
      <w:r>
        <w:t>Research recently funded organisations and projects in the same focus area to understand the language, framing, and evidence the funder has already rewarded</w:t>
      </w:r>
    </w:p>
    <w:p>
      <w:pPr>
        <w:pStyle w:val="ListBullet"/>
      </w:pPr>
      <w:r>
        <w:t>Shortlist 3–5 best-fit funding opportunities with a written rationale for why each is a strong match</w:t>
      </w:r>
    </w:p>
    <w:p>
      <w:pPr>
        <w:pStyle w:val="ListBullet"/>
      </w:pPr>
      <w:r>
        <w:t>Track open grant cycles and submission deadlines so the organisation never misses a funding window</w:t>
      </w:r>
    </w:p>
    <w:p>
      <w:pPr>
        <w:spacing w:before="80" w:after="280"/>
      </w:pPr>
      <w:r>
        <w:rPr>
          <w:b/>
          <w:i/>
        </w:rPr>
        <w:t xml:space="preserve">How This Helps: </w:t>
      </w:r>
      <w:r>
        <w:rPr>
          <w:i/>
        </w:rPr>
        <w:t>The most common grant writing mistake is applying to funders whose current priorities do not match the organisation's work. A technically well-written proposal sent to the wrong funder — or a funder already saturated with applications from larger, better-known organisations — wastes weeks of effort. When you map the organisation's programmes against the live funding landscape systematically, every proposal submitted is a genuine contender, not a long shot.</w:t>
      </w:r>
    </w:p>
    <w:p>
      <w:pPr>
        <w:pStyle w:val="Heading4"/>
      </w:pPr>
      <w:r>
        <w:t>2. Full Grant Proposal Drafting</w:t>
      </w:r>
    </w:p>
    <w:p>
      <w:pPr>
        <w:pStyle w:val="ListBullet"/>
      </w:pPr>
      <w:r>
        <w:t>Write the Executive Summary / Project Abstract: a concise, compelling overview of the problem, the proposed solution, the target beneficiaries, and the expected outcomes — written for a programme officer who reads 50 applications a week</w:t>
      </w:r>
    </w:p>
    <w:p>
      <w:pPr>
        <w:pStyle w:val="ListBullet"/>
      </w:pPr>
      <w:r>
        <w:t>Write the Statement of Need / Problem Statement: using local data, national statistics, and the organisation's own field evidence to demonstrate that the problem is real, urgent, and significant in the communities the funder cares about</w:t>
      </w:r>
    </w:p>
    <w:p>
      <w:pPr>
        <w:pStyle w:val="ListBullet"/>
      </w:pPr>
      <w:r>
        <w:t>Write the Programme Description / Project Narrative: a detailed description of what the organisation will do, how it will do it, who will be served, and in what timeline — structured to directly address the funder's stated priorities and review criteria</w:t>
      </w:r>
    </w:p>
    <w:p>
      <w:pPr>
        <w:pStyle w:val="ListBullet"/>
      </w:pPr>
      <w:r>
        <w:t>Write the Goals, Objectives, and Outcomes section: specific, measurable, achievable, relevant, and time-bound statements of what the project will accomplish and how success will be measured</w:t>
      </w:r>
    </w:p>
    <w:p>
      <w:pPr>
        <w:pStyle w:val="ListBullet"/>
      </w:pPr>
      <w:r>
        <w:t>Write the Organisational Capacity section: demonstrating that this organisation has the leadership, track record, partnerships, and infrastructure to deliver the proposed work reliably</w:t>
      </w:r>
    </w:p>
    <w:p>
      <w:pPr>
        <w:pStyle w:val="ListBullet"/>
      </w:pPr>
      <w:r>
        <w:t>Ensure every section follows the funder's specific application format, word count, and submission requirements</w:t>
      </w:r>
    </w:p>
    <w:p>
      <w:pPr>
        <w:spacing w:before="80" w:after="280"/>
      </w:pPr>
      <w:r>
        <w:rPr>
          <w:b/>
          <w:i/>
        </w:rPr>
        <w:t xml:space="preserve">How This Helps: </w:t>
      </w:r>
      <w:r>
        <w:rPr>
          <w:i/>
        </w:rPr>
        <w:t>Most executive directors know their programmes deeply but find it genuinely difficult to translate that knowledge into the structured, evidence-based, outcome-focused narrative that grant reviewers score. The language of grant writing — statements of need, logic models, measurable outcomes — is a specific craft. When you write the proposal in that language, the organisation's work gets a fair hearing on its merits.</w:t>
      </w:r>
    </w:p>
    <w:p>
      <w:pPr>
        <w:pStyle w:val="Heading4"/>
      </w:pPr>
      <w:r>
        <w:t>3. Budget Development &amp; Justification</w:t>
      </w:r>
    </w:p>
    <w:p>
      <w:pPr>
        <w:pStyle w:val="ListBullet"/>
      </w:pPr>
      <w:r>
        <w:t>Develop a realistic project budget: personnel (salaries, benefits, contractor fees), direct programme costs, supplies and materials, travel, indirect/overhead costs at the permitted rate</w:t>
      </w:r>
    </w:p>
    <w:p>
      <w:pPr>
        <w:pStyle w:val="ListBullet"/>
      </w:pPr>
      <w:r>
        <w:t>Write a detailed budget narrative justifying every line item — explaining precisely why each cost is necessary, how it was calculated, and what programme activity it supports</w:t>
      </w:r>
    </w:p>
    <w:p>
      <w:pPr>
        <w:pStyle w:val="ListBullet"/>
      </w:pPr>
      <w:r>
        <w:t>Ensure the budget complies with the funder's cost allowances — some foundations prohibit indirect costs entirely; government grants have specific indirect cost rate rules; international funders have their own cost eligibility frameworks</w:t>
      </w:r>
    </w:p>
    <w:p>
      <w:pPr>
        <w:pStyle w:val="ListBullet"/>
      </w:pPr>
      <w:r>
        <w:t>Flag any budget items that require special approval or documentation and prepare the required supporting narrative</w:t>
      </w:r>
    </w:p>
    <w:p>
      <w:pPr>
        <w:spacing w:before="80" w:after="280"/>
      </w:pPr>
      <w:r>
        <w:rPr>
          <w:b/>
          <w:i/>
        </w:rPr>
        <w:t xml:space="preserve">How This Helps: </w:t>
      </w:r>
      <w:r>
        <w:rPr>
          <w:i/>
        </w:rPr>
        <w:t>A weak or vague budget narrative is one of the most common reasons proposals score poorly in foundation reviews — it signals that the organisation has not thought carefully about what the project actually costs and how it will be managed. A detailed, well-justified budget tells reviewers that this organisation is financially serious and operationally capable.</w:t>
      </w:r>
    </w:p>
    <w:p>
      <w:pPr>
        <w:pStyle w:val="Heading4"/>
      </w:pPr>
      <w:r>
        <w:t>4. Organisational Profile &amp; Supporting Document Preparation</w:t>
      </w:r>
    </w:p>
    <w:p>
      <w:pPr>
        <w:pStyle w:val="ListBullet"/>
      </w:pPr>
      <w:r>
        <w:t>Write or update the organisation's standard profile narrative: mission, history, programmes, reach, key outcomes, and leadership — adapted to the length and focus each funder requires</w:t>
      </w:r>
    </w:p>
    <w:p>
      <w:pPr>
        <w:pStyle w:val="ListBullet"/>
      </w:pPr>
      <w:r>
        <w:t>Prepare letters of support templates for partner organisations, community leaders, and collaborating institutions — written to demonstrate genuine, specific endorsement rather than generic support</w:t>
      </w:r>
    </w:p>
    <w:p>
      <w:pPr>
        <w:pStyle w:val="ListBullet"/>
      </w:pPr>
      <w:r>
        <w:t>Compile standard attachments required by most funders: 501(c)(3) determination letter, audited financials summary, board of directors list, organisational chart, and key staff bios</w:t>
      </w:r>
    </w:p>
    <w:p>
      <w:pPr>
        <w:pStyle w:val="ListBullet"/>
      </w:pPr>
      <w:r>
        <w:t>Prepare any supplementary materials the funder requires: logic model, theory of change diagram, programme timeline, or evaluation framework</w:t>
      </w:r>
    </w:p>
    <w:p>
      <w:pPr>
        <w:spacing w:before="80" w:after="280"/>
      </w:pPr>
      <w:r>
        <w:rPr>
          <w:b/>
          <w:i/>
        </w:rPr>
        <w:t xml:space="preserve">How This Helps: </w:t>
      </w:r>
      <w:r>
        <w:rPr>
          <w:i/>
        </w:rPr>
        <w:t>Most foundation applications require a standard package of organisational documents in addition to the proposal narrative — and pulling these together while also writing the proposal is where small nonprofits run out of capacity. When you own the preparation of all supporting materials, the executive director contributes strategic input and final review rather than spending evenings formatting PDFs.</w:t>
      </w:r>
    </w:p>
    <w:p>
      <w:pPr>
        <w:pStyle w:val="Heading4"/>
      </w:pPr>
      <w:r>
        <w:t>5. Pre-Submission Review &amp; Final Package Assembly</w:t>
      </w:r>
    </w:p>
    <w:p>
      <w:pPr>
        <w:pStyle w:val="ListBullet"/>
      </w:pPr>
      <w:r>
        <w:t>Review the complete application package against the funder's guidelines — every required section, word limit, attachment, and format requirement checked before submission</w:t>
      </w:r>
    </w:p>
    <w:p>
      <w:pPr>
        <w:pStyle w:val="ListBullet"/>
      </w:pPr>
      <w:r>
        <w:t>Verify that the statement of need, programme description, goals, and budget all tell a consistent story — no internal contradictions or gaps a reviewer could flag</w:t>
      </w:r>
    </w:p>
    <w:p>
      <w:pPr>
        <w:pStyle w:val="ListBullet"/>
      </w:pPr>
      <w:r>
        <w:t>Proofread the entire proposal for grammar, clarity, and professional tone</w:t>
      </w:r>
    </w:p>
    <w:p>
      <w:pPr>
        <w:pStyle w:val="ListBullet"/>
      </w:pPr>
      <w:r>
        <w:t>Compile the final submission package in the required format — PDF, Word, or online portal entry — and confirm the submission is complete and on time</w:t>
      </w:r>
    </w:p>
    <w:p>
      <w:pPr>
        <w:pStyle w:val="ListBullet"/>
      </w:pPr>
      <w:r>
        <w:t>Deliver a written confirmation checklist documenting every requirement that has been met</w:t>
      </w:r>
    </w:p>
    <w:p>
      <w:pPr>
        <w:spacing w:before="80" w:after="280"/>
      </w:pPr>
      <w:r>
        <w:rPr>
          <w:b/>
          <w:i/>
        </w:rPr>
        <w:t xml:space="preserve">How This Helps: </w:t>
      </w:r>
      <w:r>
        <w:rPr>
          <w:i/>
        </w:rPr>
        <w:t>Grant applications submitted with missing attachments, incorrect word counts, or formatting errors are frequently disqualified before a reviewer reads a single word. A careful pre-submission review eliminates every preventable rejection and ensures the proposal represents the organisation's best work.</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Executive director writes grant proposals alone at nights and weekends, while programme work suffers during the day</w:t>
            </w:r>
          </w:p>
        </w:tc>
        <w:tc>
          <w:tcPr>
            <w:tcW w:type="dxa" w:w="4320"/>
          </w:tcPr>
          <w:p>
            <w:r>
              <w:t>Executive director contributes programme knowledge and strategic input — writing, formatting, and document coordination handled for them</w:t>
            </w:r>
          </w:p>
        </w:tc>
      </w:tr>
      <w:tr>
        <w:tc>
          <w:tcPr>
            <w:tcW w:type="dxa" w:w="4320"/>
          </w:tcPr>
          <w:p>
            <w:r>
              <w:t>Organisation applies to the same 3–4 funders every year by habit, without checking if better-fit opportunities exist</w:t>
            </w:r>
          </w:p>
        </w:tc>
        <w:tc>
          <w:tcPr>
            <w:tcW w:type="dxa" w:w="4320"/>
          </w:tcPr>
          <w:p>
            <w:r>
              <w:t>Full funding landscape mapped across foundations, government agencies, and international funders — applications go to the best-fit opportunities</w:t>
            </w:r>
          </w:p>
        </w:tc>
      </w:tr>
      <w:tr>
        <w:tc>
          <w:tcPr>
            <w:tcW w:type="dxa" w:w="4320"/>
          </w:tcPr>
          <w:p>
            <w:r>
              <w:t>Proposal narrative is passionate but vague — reviewers cannot identify clear, measurable outcomes</w:t>
            </w:r>
          </w:p>
        </w:tc>
        <w:tc>
          <w:tcPr>
            <w:tcW w:type="dxa" w:w="4320"/>
          </w:tcPr>
          <w:p>
            <w:r>
              <w:t>Every section written in the evidence-based, outcome-focused language grant reviewers are trained to score</w:t>
            </w:r>
          </w:p>
        </w:tc>
      </w:tr>
      <w:tr>
        <w:tc>
          <w:tcPr>
            <w:tcW w:type="dxa" w:w="4320"/>
          </w:tcPr>
          <w:p>
            <w:r>
              <w:t>Budget narrative is one-line descriptions that give reviewers no confidence in financial planning</w:t>
            </w:r>
          </w:p>
        </w:tc>
        <w:tc>
          <w:tcPr>
            <w:tcW w:type="dxa" w:w="4320"/>
          </w:tcPr>
          <w:p>
            <w:r>
              <w:t>Every budget line justified in detail — reviewers see a financially serious, operationally capable organisation</w:t>
            </w:r>
          </w:p>
        </w:tc>
      </w:tr>
      <w:tr>
        <w:tc>
          <w:tcPr>
            <w:tcW w:type="dxa" w:w="4320"/>
          </w:tcPr>
          <w:p>
            <w:r>
              <w:t>Letters of support arrive late and are generic — "we support XYZ organisation's good work" — adding no reviewer value</w:t>
            </w:r>
          </w:p>
        </w:tc>
        <w:tc>
          <w:tcPr>
            <w:tcW w:type="dxa" w:w="4320"/>
          </w:tcPr>
          <w:p>
            <w:r>
              <w:t>Specific, substantive letters of support prepared on time — each one demonstrating a genuine, active partnership</w:t>
            </w:r>
          </w:p>
        </w:tc>
      </w:tr>
      <w:tr>
        <w:tc>
          <w:tcPr>
            <w:tcW w:type="dxa" w:w="4320"/>
          </w:tcPr>
          <w:p>
            <w:r>
              <w:t>Application submitted the night before the deadline with missing attachments — disqualified on technical grounds</w:t>
            </w:r>
          </w:p>
        </w:tc>
        <w:tc>
          <w:tcPr>
            <w:tcW w:type="dxa" w:w="4320"/>
          </w:tcPr>
          <w:p>
            <w:r>
              <w:t>Full package reviewed and confirmed complete days before the deadline — submitted with confidence</w:t>
            </w:r>
          </w:p>
        </w:tc>
      </w:tr>
    </w:tbl>
    <w:p/>
    <w:p>
      <w:pPr>
        <w:pStyle w:val="Heading3"/>
      </w:pPr>
      <w:r>
        <w:t>WHO YOU SERVE</w:t>
      </w:r>
    </w:p>
    <w:p>
      <w:r>
        <w:t>Executive directors and development directors at small-to-mid-size nonprofits, NGOs, and social enterprises in the US, UK, Canada, and Australia who need grant funding to sustain or grow their programmes but cannot afford a full-time grant writer on staff. Their work spans education, youth services, healthcare, community development, environmental conservation, and international development. They know their programmes deeply and believe in what they are building — but they find it genuinely difficult to translate that knowledge into the structured, evidence-based, outcome-focused narrative that funders require. They hire on a per-proposal or short-term retainer basis, and they return to writers who help them win.</w:t>
      </w:r>
    </w:p>
    <w:p>
      <w:pPr>
        <w:pStyle w:val="Heading3"/>
      </w:pPr>
      <w:r>
        <w:t>THE GUARANTEE</w:t>
      </w:r>
    </w:p>
    <w:p>
      <w:r>
        <w:rPr>
          <w:b/>
        </w:rPr>
        <w:t>If your proposal is not submission-ready by your deadline, I redo it at no extra cost.</w:t>
      </w:r>
    </w:p>
    <w:p>
      <w:r>
        <w:br w:type="page"/>
      </w:r>
    </w:p>
    <w:p>
      <w:pPr>
        <w:pStyle w:val="Heading2"/>
      </w:pPr>
      <w:r>
        <w:t>OFFER 2B — For Indian Researchers, Faculty &amp; NGO Directors Applying for SERB, DST, ICMR &amp; International Foundation Grants</w:t>
      </w:r>
    </w:p>
    <w:p>
      <w:pPr>
        <w:spacing w:before="120" w:after="280"/>
      </w:pPr>
      <w:r>
        <w:rPr>
          <w:b/>
          <w:i/>
          <w:sz w:val="23"/>
        </w:rPr>
        <w:t>"I Help Indian Researchers and NGO Directors Write SERB, DST, ICMR, and International Foundation Grant Proposals That Win Funding — If Your Proposal Is Not Submission-Ready by Your Deadline, I Redo It at No Extra Cost"</w:t>
      </w:r>
    </w:p>
    <w:p>
      <w:pPr>
        <w:pStyle w:val="Heading3"/>
      </w:pPr>
      <w:r>
        <w:t>WHAT YOU WILL DELIVER</w:t>
      </w:r>
    </w:p>
    <w:p>
      <w:pPr>
        <w:pStyle w:val="Heading4"/>
      </w:pPr>
      <w:r>
        <w:t>1. Funding Agency Research &amp; Strategic Alignment</w:t>
      </w:r>
    </w:p>
    <w:p>
      <w:pPr>
        <w:pStyle w:val="ListBullet"/>
      </w:pPr>
      <w:r>
        <w:t>Research the top 5–8 funding agencies and grant programmes that best match the client's research focus and project scope — SERB, DST, ICMR, DBT, BIRAC, CSIR, ICAR, Gates Foundation, Wellcome Trust/DBT India Alliance, private CSR foundations</w:t>
      </w:r>
    </w:p>
    <w:p>
      <w:pPr>
        <w:pStyle w:val="ListBullet"/>
      </w:pPr>
      <w:r>
        <w:t>Cross-reference the client's research priorities with each agency's current strategic funding agenda</w:t>
      </w:r>
    </w:p>
    <w:p>
      <w:pPr>
        <w:pStyle w:val="ListBullet"/>
      </w:pPr>
      <w:r>
        <w:t>Research recently funded projects in the same field to understand the language, framing, and project scope each agency has already rewarded in the current cycle</w:t>
      </w:r>
    </w:p>
    <w:p>
      <w:pPr>
        <w:pStyle w:val="ListBullet"/>
      </w:pPr>
      <w:r>
        <w:t>Shortlist 2–3 best-fit funding opportunities with a written rationale for why each is a strong match</w:t>
      </w:r>
    </w:p>
    <w:p>
      <w:pPr>
        <w:pStyle w:val="ListBullet"/>
      </w:pPr>
      <w:r>
        <w:t>Track upcoming call deadlines across multiple agencies so the client never misses a funding window</w:t>
      </w:r>
    </w:p>
    <w:p>
      <w:pPr>
        <w:spacing w:before="80" w:after="280"/>
      </w:pPr>
      <w:r>
        <w:rPr>
          <w:b/>
          <w:i/>
        </w:rPr>
        <w:t xml:space="preserve">How This Helps: </w:t>
      </w:r>
      <w:r>
        <w:rPr>
          <w:i/>
        </w:rPr>
        <w:t>Many Indian researchers apply to funding agencies whose current priorities do not match their research focus — either because they are not tracking the agencies systematically or because they apply to the same one or two agencies by habit. When you map the client's work against the live funding landscape across all major Indian and international agencies, the proposal is targeted at the funder most likely to be receptive.</w:t>
      </w:r>
    </w:p>
    <w:p>
      <w:pPr>
        <w:pStyle w:val="Heading4"/>
      </w:pPr>
      <w:r>
        <w:t>2. Full Grant Proposal Drafting</w:t>
      </w:r>
    </w:p>
    <w:p>
      <w:pPr>
        <w:pStyle w:val="ListBullet"/>
      </w:pPr>
      <w:r>
        <w:t>Write the Project Summary: a clear, non-technical overview of what the project proposes to do, why it matters in the Indian context, and what measurable outcomes it will produce</w:t>
      </w:r>
    </w:p>
    <w:p>
      <w:pPr>
        <w:pStyle w:val="ListBullet"/>
      </w:pPr>
      <w:r>
        <w:t>Draft the Objectives and Deliverables section: specific, measurable research objectives with a timeline tied to funding milestones</w:t>
      </w:r>
    </w:p>
    <w:p>
      <w:pPr>
        <w:pStyle w:val="ListBullet"/>
      </w:pPr>
      <w:r>
        <w:t>Write the Research Methodology: a detailed, reviewer-appropriate description of the study design, data collection approach, sample, instruments, and analysis plan</w:t>
      </w:r>
    </w:p>
    <w:p>
      <w:pPr>
        <w:pStyle w:val="ListBullet"/>
      </w:pPr>
      <w:r>
        <w:t>Write the Significance and Innovation sections: making the case for why this research is important now, what gap it fills in Indian or global knowledge, and why this team is positioned to do it</w:t>
      </w:r>
    </w:p>
    <w:p>
      <w:pPr>
        <w:pStyle w:val="ListBullet"/>
      </w:pPr>
      <w:r>
        <w:t>Ensure every section follows the funder's exact formatting and word count requirements — SERB, DST, ICMR, and international foundation formats differ significantly</w:t>
      </w:r>
    </w:p>
    <w:p>
      <w:pPr>
        <w:spacing w:before="80" w:after="280"/>
      </w:pPr>
      <w:r>
        <w:rPr>
          <w:b/>
          <w:i/>
        </w:rPr>
        <w:t xml:space="preserve">How This Helps: </w:t>
      </w:r>
      <w:r>
        <w:rPr>
          <w:i/>
        </w:rPr>
        <w:t>Indian grant proposals are frequently rejected not because the research is weak but because the proposal does not communicate its significance in the language the review committee uses to evaluate proposals. Scientific merit alone is not enough — the proposal must also demonstrate societal relevance, feasibility, and institutional capacity. When you write the proposal in the language and structure the funder's reviewers are trained to score, the research gets a fair hearing.</w:t>
      </w:r>
    </w:p>
    <w:p>
      <w:pPr>
        <w:pStyle w:val="Heading4"/>
      </w:pPr>
      <w:r>
        <w:t>3. Budget Development &amp; Justification</w:t>
      </w:r>
    </w:p>
    <w:p>
      <w:pPr>
        <w:pStyle w:val="ListBullet"/>
      </w:pPr>
      <w:r>
        <w:t>Develop a realistic project budget within the agency's permissible cost categories: manpower (JRFs, SRFs, research assistants), equipment, consumables, travel, contingency, and overhead at the permissible rate</w:t>
      </w:r>
    </w:p>
    <w:p>
      <w:pPr>
        <w:pStyle w:val="ListBullet"/>
      </w:pPr>
      <w:r>
        <w:t>Write a detailed budget justification for every line item — explaining precisely why each cost is necessary and tied to a specific research activity</w:t>
      </w:r>
    </w:p>
    <w:p>
      <w:pPr>
        <w:pStyle w:val="ListBullet"/>
      </w:pPr>
      <w:r>
        <w:t>Ensure the budget complies with the funder's cost norms — including SERB's specific manpower fellowship rates, DST's equipment procurement policies, and ICMR's overhead caps</w:t>
      </w:r>
    </w:p>
    <w:p>
      <w:pPr>
        <w:pStyle w:val="ListBullet"/>
      </w:pPr>
      <w:r>
        <w:t>Flag items that require special justification or committee approval and prepare the supporting documentation</w:t>
      </w:r>
    </w:p>
    <w:p>
      <w:pPr>
        <w:spacing w:before="80" w:after="280"/>
      </w:pPr>
      <w:r>
        <w:rPr>
          <w:b/>
          <w:i/>
        </w:rPr>
        <w:t xml:space="preserve">How This Helps: </w:t>
      </w:r>
      <w:r>
        <w:rPr>
          <w:i/>
        </w:rPr>
        <w:t>Indian funding agencies have very specific rules about what can and cannot be budgeted, and at what rates. A budget that includes costs the agency does not allow — or that requests fellowship rates above the agency's approved scale — will be flagged immediately by the review committee. A correctly structured budget signals that the PI understands the agency's procedures.</w:t>
      </w:r>
    </w:p>
    <w:p>
      <w:pPr>
        <w:pStyle w:val="Heading4"/>
      </w:pPr>
      <w:r>
        <w:t>4. CV, Biosketch &amp; Supporting Document Coordination</w:t>
      </w:r>
    </w:p>
    <w:p>
      <w:pPr>
        <w:pStyle w:val="ListBullet"/>
      </w:pPr>
      <w:r>
        <w:t>Write or update the PI's academic CV in the format required by the specific funding agency — SERB, DST, and international foundations each have distinct requirements</w:t>
      </w:r>
    </w:p>
    <w:p>
      <w:pPr>
        <w:pStyle w:val="ListBullet"/>
      </w:pPr>
      <w:r>
        <w:t>Draft the personal statement or research background section connecting the PI's track record to the proposed project</w:t>
      </w:r>
    </w:p>
    <w:p>
      <w:pPr>
        <w:pStyle w:val="ListBullet"/>
      </w:pPr>
      <w:r>
        <w:t>Coordinate with co-investigators and collaborating institutions to collect their CVs, institutional support letters, and ethics clearance documents</w:t>
      </w:r>
    </w:p>
    <w:p>
      <w:pPr>
        <w:pStyle w:val="ListBullet"/>
      </w:pPr>
      <w:r>
        <w:t>Prepare letter of intent and letter of support templates for institutional endorsements, collaborating universities, and community partners</w:t>
      </w:r>
    </w:p>
    <w:p>
      <w:pPr>
        <w:pStyle w:val="ListBullet"/>
      </w:pPr>
      <w:r>
        <w:t>Compile all required attachments: ethics clearances, utilisation certificates from previous grants, MOU documents, institutional facilities statements</w:t>
      </w:r>
    </w:p>
    <w:p>
      <w:pPr>
        <w:spacing w:before="80" w:after="280"/>
      </w:pPr>
      <w:r>
        <w:rPr>
          <w:b/>
          <w:i/>
        </w:rPr>
        <w:t xml:space="preserve">How This Helps: </w:t>
      </w:r>
      <w:r>
        <w:rPr>
          <w:i/>
        </w:rPr>
        <w:t>Indian grant applications require institutional coordination that goes well beyond the proposal document itself. Ethics clearances, MOU agreements, utilisation certificates from previous grants, and departmental endorsements all have to be compiled before submission — and delays in any one document can invalidate an otherwise strong application.</w:t>
      </w:r>
    </w:p>
    <w:p>
      <w:pPr>
        <w:pStyle w:val="Heading4"/>
      </w:pPr>
      <w:r>
        <w:t>5. Pre-Submission Compliance Review &amp; Final Package Assembly</w:t>
      </w:r>
    </w:p>
    <w:p>
      <w:pPr>
        <w:pStyle w:val="ListBullet"/>
      </w:pPr>
      <w:r>
        <w:t>Review the complete proposal package against the specific agency's guidelines — every section, attachment, word limit, declaration, and format requirement checked against the official call document</w:t>
      </w:r>
    </w:p>
    <w:p>
      <w:pPr>
        <w:pStyle w:val="ListBullet"/>
      </w:pPr>
      <w:r>
        <w:t>Verify internal consistency: that the objectives, methodology, timeline, and budget all align and tell the same story</w:t>
      </w:r>
    </w:p>
    <w:p>
      <w:pPr>
        <w:pStyle w:val="ListBullet"/>
      </w:pPr>
      <w:r>
        <w:t>Check all references are complete and correctly formatted</w:t>
      </w:r>
    </w:p>
    <w:p>
      <w:pPr>
        <w:pStyle w:val="ListBullet"/>
      </w:pPr>
      <w:r>
        <w:t>Deliver the final submission package ready for upload to the agency portal — SERB's online system, DST's portal, ICMR's portal, or the international foundation's platform</w:t>
      </w:r>
    </w:p>
    <w:p>
      <w:pPr>
        <w:pStyle w:val="ListBullet"/>
      </w:pPr>
      <w:r>
        <w:t>Provide a written submission readiness checklist confirming every requirement has been met</w:t>
      </w:r>
    </w:p>
    <w:p>
      <w:pPr>
        <w:spacing w:before="80" w:after="280"/>
      </w:pPr>
      <w:r>
        <w:rPr>
          <w:b/>
          <w:i/>
        </w:rPr>
        <w:t xml:space="preserve">How This Helps: </w:t>
      </w:r>
      <w:r>
        <w:rPr>
          <w:i/>
        </w:rPr>
        <w:t>Each Indian funding agency has its own online submission system with its own technical requirements — file formats, upload limits, mandatory fields, and declaration checkboxes. A proposal that is scientifically strong but submitted incorrectly is rejected at the portal stage before it ever reaches a reviewer.</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Researcher applies to the same 1–2 agencies every cycle without checking if current priorities match — and gets rejected</w:t>
            </w:r>
          </w:p>
        </w:tc>
        <w:tc>
          <w:tcPr>
            <w:tcW w:type="dxa" w:w="4320"/>
          </w:tcPr>
          <w:p>
            <w:r>
              <w:t>Full funding landscape mapped across SERB, DST, ICMR, DBT, and international foundations — proposal goes to the best-fit agency</w:t>
            </w:r>
          </w:p>
        </w:tc>
      </w:tr>
      <w:tr>
        <w:tc>
          <w:tcPr>
            <w:tcW w:type="dxa" w:w="4320"/>
          </w:tcPr>
          <w:p>
            <w:r>
              <w:t>Proposal narrative is technically sound but does not communicate societal relevance — review committee rates it low on impact</w:t>
            </w:r>
          </w:p>
        </w:tc>
        <w:tc>
          <w:tcPr>
            <w:tcW w:type="dxa" w:w="4320"/>
          </w:tcPr>
          <w:p>
            <w:r>
              <w:t>Every section written in the language the agency's review committee uses to evaluate significance and feasibility</w:t>
            </w:r>
          </w:p>
        </w:tc>
      </w:tr>
      <w:tr>
        <w:tc>
          <w:tcPr>
            <w:tcW w:type="dxa" w:w="4320"/>
          </w:tcPr>
          <w:p>
            <w:r>
              <w:t>Budget includes costs outside the agency's permissible categories — flagged immediately by the committee</w:t>
            </w:r>
          </w:p>
        </w:tc>
        <w:tc>
          <w:tcPr>
            <w:tcW w:type="dxa" w:w="4320"/>
          </w:tcPr>
          <w:p>
            <w:r>
              <w:t>Budget built within the agency's exact cost norms — fellowship rates, overhead caps, equipment policies all compliant</w:t>
            </w:r>
          </w:p>
        </w:tc>
      </w:tr>
      <w:tr>
        <w:tc>
          <w:tcPr>
            <w:tcW w:type="dxa" w:w="4320"/>
          </w:tcPr>
          <w:p>
            <w:r>
              <w:t>Utilisation certificates and ethics clearances arrive at the last minute — submission rushed and incomplete</w:t>
            </w:r>
          </w:p>
        </w:tc>
        <w:tc>
          <w:tcPr>
            <w:tcW w:type="dxa" w:w="4320"/>
          </w:tcPr>
          <w:p>
            <w:r>
              <w:t>All institutional documents collected and compiled weeks before the deadline — submission is complete and calm</w:t>
            </w:r>
          </w:p>
        </w:tc>
      </w:tr>
      <w:tr>
        <w:tc>
          <w:tcPr>
            <w:tcW w:type="dxa" w:w="4320"/>
          </w:tcPr>
          <w:p>
            <w:r>
              <w:t>Previous grant applications submitted without a compliance review — rejected on a technical portal error</w:t>
            </w:r>
          </w:p>
        </w:tc>
        <w:tc>
          <w:tcPr>
            <w:tcW w:type="dxa" w:w="4320"/>
          </w:tcPr>
          <w:p>
            <w:r>
              <w:t>Final package reviewed against every requirement — submitted correctly the first time</w:t>
            </w:r>
          </w:p>
        </w:tc>
      </w:tr>
      <w:tr>
        <w:tc>
          <w:tcPr>
            <w:tcW w:type="dxa" w:w="4320"/>
          </w:tcPr>
          <w:p>
            <w:r>
              <w:t>NGO director spends 3–4 weeks writing the proposal alone while programme work suffers</w:t>
            </w:r>
          </w:p>
        </w:tc>
        <w:tc>
          <w:tcPr>
            <w:tcW w:type="dxa" w:w="4320"/>
          </w:tcPr>
          <w:p>
            <w:r>
              <w:t>Director contributes key inputs — writing, formatting, compliance, and coordination handled for them</w:t>
            </w:r>
          </w:p>
        </w:tc>
      </w:tr>
    </w:tbl>
    <w:p/>
    <w:p>
      <w:pPr>
        <w:pStyle w:val="Heading3"/>
      </w:pPr>
      <w:r>
        <w:t>WHO YOU SERVE</w:t>
      </w:r>
    </w:p>
    <w:p>
      <w:r>
        <w:t>Faculty members and research scientists at Indian universities and research institutes — IITs, IISc, AIIMS, central universities, state universities, and autonomous institutes — who are applying for their first major research grant or managing a portfolio of active grants that need renewal. You also serve programme directors at Indian NGOs, social enterprises, and development organisations who regularly apply for CSR grants, government scheme funding, or international foundation grants and need professional proposal writing support to compete with larger, better-resourced applicants.</w:t>
      </w:r>
    </w:p>
    <w:p>
      <w:pPr>
        <w:pStyle w:val="Heading3"/>
      </w:pPr>
      <w:r>
        <w:t>THE GUARANTEE</w:t>
      </w:r>
    </w:p>
    <w:p>
      <w:r>
        <w:rPr>
          <w:b/>
        </w:rPr>
        <w:t>If your proposal is not submission-ready by your deadline, I redo it at no extra cost.</w:t>
      </w:r>
    </w:p>
    <w:p>
      <w:r>
        <w:br w:type="page"/>
      </w:r>
    </w:p>
    <w:p>
      <w:pPr>
        <w:pStyle w:val="Heading1"/>
      </w:pPr>
      <w:r>
        <w:t>OFFER 3 — NGO REPORTS, POLICY BRIEFS &amp; DONOR DOCUMENTS</w:t>
      </w:r>
    </w:p>
    <w:p>
      <w:pPr>
        <w:pStyle w:val="Heading2"/>
      </w:pPr>
      <w:r>
        <w:t>OFFER 3A — For Programme Managers and Executive Directors at Small/Mid NGOs in the US, UK, Canada &amp; Australia</w:t>
      </w:r>
    </w:p>
    <w:p>
      <w:pPr>
        <w:spacing w:before="120" w:after="280"/>
      </w:pPr>
      <w:r>
        <w:rPr>
          <w:b/>
          <w:i/>
          <w:sz w:val="23"/>
        </w:rPr>
        <w:t>"I Help NGO Programme Managers Turn Field Research, Programme Data, and Donor Reporting Requirements Into Publication-Ready Reports and Policy Briefs — So You Meet Donor Deadlines, Communicate Your Impact Clearly, and Secure Continued Funding Without Scrambling at the Last Minute"</w:t>
      </w:r>
    </w:p>
    <w:p>
      <w:pPr>
        <w:pStyle w:val="Heading3"/>
      </w:pPr>
      <w:r>
        <w:t>WHAT YOU WILL DELIVER</w:t>
      </w:r>
    </w:p>
    <w:p>
      <w:pPr>
        <w:pStyle w:val="Heading4"/>
      </w:pPr>
      <w:r>
        <w:t>1. Donor Reports &amp; Funding Utilisation Documents</w:t>
      </w:r>
    </w:p>
    <w:p>
      <w:pPr>
        <w:pStyle w:val="ListBullet"/>
      </w:pPr>
      <w:r>
        <w:t>Write mid-term and final donor reports documenting programme activities, outputs, outcomes, and funds utilisation against the original grant proposal</w:t>
      </w:r>
    </w:p>
    <w:p>
      <w:pPr>
        <w:pStyle w:val="ListBullet"/>
      </w:pPr>
      <w:r>
        <w:t>Compile quantitative and qualitative evidence of programme impact — beneficiary numbers, outcome data, case studies, photos, testimonials — into a coherent narrative</w:t>
      </w:r>
    </w:p>
    <w:p>
      <w:pPr>
        <w:pStyle w:val="ListBullet"/>
      </w:pPr>
      <w:r>
        <w:t>Format reports to the specific reporting requirements of each donor (USAID, DFID/FCDO, Gates Foundation, Ford Foundation, EU, UN agencies, community foundations)</w:t>
      </w:r>
    </w:p>
    <w:p>
      <w:pPr>
        <w:pStyle w:val="ListBullet"/>
      </w:pPr>
      <w:r>
        <w:t>Prepare financial utilisation tables tied to the approved budget — reconciling actual expenditure against approved line items with explanations for variances</w:t>
      </w:r>
    </w:p>
    <w:p>
      <w:pPr>
        <w:pStyle w:val="ListBullet"/>
      </w:pPr>
      <w:r>
        <w:t>Write quarterly progress updates and donor briefing notes that maintain relationship visibility between formal reports</w:t>
      </w:r>
    </w:p>
    <w:p>
      <w:pPr>
        <w:spacing w:before="80" w:after="280"/>
      </w:pPr>
      <w:r>
        <w:rPr>
          <w:b/>
          <w:i/>
        </w:rPr>
        <w:t xml:space="preserve">How This Helps: </w:t>
      </w:r>
      <w:r>
        <w:rPr>
          <w:i/>
        </w:rPr>
        <w:t>Donor reporting is non-negotiable — missed or inadequate reports jeopardise current funding and make future funding applications harder. Yet most programme staff find reporting the least rewarding part of their work, and it gets deprioritised when operational demands are high. Timely, well-written donor reports also build trust and make renewal applications significantly more likely to succeed.</w:t>
      </w:r>
    </w:p>
    <w:p>
      <w:pPr>
        <w:pStyle w:val="Heading4"/>
      </w:pPr>
      <w:r>
        <w:t>2. Programme Evaluation Reports &amp; Impact Case Studies</w:t>
      </w:r>
    </w:p>
    <w:p>
      <w:pPr>
        <w:pStyle w:val="ListBullet"/>
      </w:pPr>
      <w:r>
        <w:t>Write mid-term and final programme evaluation reports documenting progress, outcomes, lessons learned, and recommendations for the next phase</w:t>
      </w:r>
    </w:p>
    <w:p>
      <w:pPr>
        <w:pStyle w:val="ListBullet"/>
      </w:pPr>
      <w:r>
        <w:t>Structure evaluations around the organisation's logic model or theory of change — showing how activities led to outputs, outputs to outcomes, and outcomes to impact</w:t>
      </w:r>
    </w:p>
    <w:p>
      <w:pPr>
        <w:pStyle w:val="ListBullet"/>
      </w:pPr>
      <w:r>
        <w:t>Develop impact case studies — 2–4 page stories showing how the programme changed a specific community, individual, or policy outcome</w:t>
      </w:r>
    </w:p>
    <w:p>
      <w:pPr>
        <w:pStyle w:val="ListBullet"/>
      </w:pPr>
      <w:r>
        <w:t>Integrate beneficiary testimonials, interview quotes, and field photos to humanise the data</w:t>
      </w:r>
    </w:p>
    <w:p>
      <w:pPr>
        <w:pStyle w:val="ListBullet"/>
      </w:pPr>
      <w:r>
        <w:t>Produce both a long-form evaluation report and a 2-page executive summary for board members and donors who will not read the full document</w:t>
      </w:r>
    </w:p>
    <w:p>
      <w:pPr>
        <w:spacing w:before="80" w:after="280"/>
      </w:pPr>
      <w:r>
        <w:rPr>
          <w:b/>
          <w:i/>
        </w:rPr>
        <w:t xml:space="preserve">How This Helps: </w:t>
      </w:r>
      <w:r>
        <w:rPr>
          <w:i/>
        </w:rPr>
        <w:t>The value of an NGO's work is measured by its documented impact, not by the activities it ran. A well-written evaluation report turns programme delivery into evidence that supports the next funding cycle, advocacy work, and organisational reputation. Case studies in particular are the single most-shared content type by donors — they reach audiences a full report never will.</w:t>
      </w:r>
    </w:p>
    <w:p>
      <w:pPr>
        <w:pStyle w:val="Heading4"/>
      </w:pPr>
      <w:r>
        <w:t>3. Policy Briefs &amp; Advocacy Documents</w:t>
      </w:r>
    </w:p>
    <w:p>
      <w:pPr>
        <w:pStyle w:val="ListBullet"/>
      </w:pPr>
      <w:r>
        <w:t>Write concise, decision-oriented policy briefs (4–8 pages) summarising the problem, evidence, and specific policy recommendations for a government or institutional audience</w:t>
      </w:r>
    </w:p>
    <w:p>
      <w:pPr>
        <w:pStyle w:val="ListBullet"/>
      </w:pPr>
      <w:r>
        <w:t>Frame the brief around the specific policy audience: ministry officials, parliamentary committees, UN agencies, or corporate sustainability teams — different audiences need different emphasis and language</w:t>
      </w:r>
    </w:p>
    <w:p>
      <w:pPr>
        <w:pStyle w:val="ListBullet"/>
      </w:pPr>
      <w:r>
        <w:t>Support advocacy documents with evidence from existing literature, case studies, and the organisation's own field research</w:t>
      </w:r>
    </w:p>
    <w:p>
      <w:pPr>
        <w:pStyle w:val="ListBullet"/>
      </w:pPr>
      <w:r>
        <w:t>Create briefing notes, position papers, and testimony documents for presentation at government consultations, international forums, or media events</w:t>
      </w:r>
    </w:p>
    <w:p>
      <w:pPr>
        <w:spacing w:before="80" w:after="280"/>
      </w:pPr>
      <w:r>
        <w:rPr>
          <w:b/>
          <w:i/>
        </w:rPr>
        <w:t xml:space="preserve">How This Helps: </w:t>
      </w:r>
      <w:r>
        <w:rPr>
          <w:i/>
        </w:rPr>
        <w:t>A 200-page technical report rarely changes policy. A well-written 6-page policy brief with clear evidence and specific, actionable recommendations can. The ability to translate dense research into compelling, decision-ready documents is a rare skill — and one that directly determines whether the organisation's research reaches the people it is meant to influence.</w:t>
      </w:r>
    </w:p>
    <w:p>
      <w:pPr>
        <w:pStyle w:val="Heading4"/>
      </w:pPr>
      <w:r>
        <w:t>4. Research Reports &amp; White Papers</w:t>
      </w:r>
    </w:p>
    <w:p>
      <w:pPr>
        <w:pStyle w:val="ListBullet"/>
      </w:pPr>
      <w:r>
        <w:t>Work from the NGO's raw research data, field notes, interview transcripts, and survey results to write a structured, publication-quality research report</w:t>
      </w:r>
    </w:p>
    <w:p>
      <w:pPr>
        <w:pStyle w:val="ListBullet"/>
      </w:pPr>
      <w:r>
        <w:t>Apply the appropriate report structure: IMRAD (Introduction, Methods, Results, Discussion), technical report format, or policy-focused narrative</w:t>
      </w:r>
    </w:p>
    <w:p>
      <w:pPr>
        <w:pStyle w:val="ListBullet"/>
      </w:pPr>
      <w:r>
        <w:t>Write an Executive Summary (1–2 pages) that can be read independently by policymakers and donors who will not read the full report</w:t>
      </w:r>
    </w:p>
    <w:p>
      <w:pPr>
        <w:pStyle w:val="ListBullet"/>
      </w:pPr>
      <w:r>
        <w:t>Integrate data visualisations — charts, graphs, infographics — to make quantitative findings accessible to non-technical audiences</w:t>
      </w:r>
    </w:p>
    <w:p>
      <w:pPr>
        <w:pStyle w:val="ListBullet"/>
      </w:pPr>
      <w:r>
        <w:t>Produce both a print-ready long-form format and a shorter digital summary version for online publication</w:t>
      </w:r>
    </w:p>
    <w:p>
      <w:pPr>
        <w:spacing w:before="80" w:after="280"/>
      </w:pPr>
      <w:r>
        <w:rPr>
          <w:b/>
          <w:i/>
        </w:rPr>
        <w:t xml:space="preserve">How This Helps: </w:t>
      </w:r>
      <w:r>
        <w:rPr>
          <w:i/>
        </w:rPr>
        <w:t>Small NGOs typically have strong programme staff but limited writing capacity — programme officers are experts in field research and stakeholder engagement, not professional document writers. Raw findings sit unprocessed for months because nobody has bandwidth to turn them into a publication. When you take research inputs and deliver a publication-ready report, the organisation maintains its publishing reputation and its funding pipeline.</w:t>
      </w:r>
    </w:p>
    <w:p>
      <w:pPr>
        <w:pStyle w:val="Heading4"/>
      </w:pPr>
      <w:r>
        <w:t>5. Annual Reports &amp; Communications Materials</w:t>
      </w:r>
    </w:p>
    <w:p>
      <w:pPr>
        <w:pStyle w:val="ListBullet"/>
      </w:pPr>
      <w:r>
        <w:t>Write the organisation's annual report — combining programme highlights, financial summary, impact data, and forward-looking strategy into a single donor-facing document</w:t>
      </w:r>
    </w:p>
    <w:p>
      <w:pPr>
        <w:pStyle w:val="ListBullet"/>
      </w:pPr>
      <w:r>
        <w:t>Write quarterly newsletters, donor appeals, and email communication that maintain engagement between formal reports</w:t>
      </w:r>
    </w:p>
    <w:p>
      <w:pPr>
        <w:pStyle w:val="ListBullet"/>
      </w:pPr>
      <w:r>
        <w:t>Develop the organisation's standard programme descriptions and capacity statements — reusable across multiple grant applications and donor presentations</w:t>
      </w:r>
    </w:p>
    <w:p>
      <w:pPr>
        <w:pStyle w:val="ListBullet"/>
      </w:pPr>
      <w:r>
        <w:t>Prepare board presentation packs with summary metrics, programme updates, and risks/opportunities</w:t>
      </w:r>
    </w:p>
    <w:p>
      <w:pPr>
        <w:spacing w:before="80" w:after="280"/>
      </w:pPr>
      <w:r>
        <w:rPr>
          <w:b/>
          <w:i/>
        </w:rPr>
        <w:t xml:space="preserve">How This Helps: </w:t>
      </w:r>
      <w:r>
        <w:rPr>
          <w:i/>
        </w:rPr>
        <w:t>Annual reports and ongoing donor communications are how an NGO maintains relationships between funding cycles. Most small NGOs treat these as afterthoughts — but they are what determines whether a donor renews, refers another funder, or quietly moves on at the next cycle.</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Donor report deadlines missed or rushed — affecting the next funding cycle and donor relationship</w:t>
            </w:r>
          </w:p>
        </w:tc>
        <w:tc>
          <w:tcPr>
            <w:tcW w:type="dxa" w:w="4320"/>
          </w:tcPr>
          <w:p>
            <w:r>
              <w:t>Donor reports submitted on time, complete, with utilisation tables reconciled to the approved budget</w:t>
            </w:r>
          </w:p>
        </w:tc>
      </w:tr>
      <w:tr>
        <w:tc>
          <w:tcPr>
            <w:tcW w:type="dxa" w:w="4320"/>
          </w:tcPr>
          <w:p>
            <w:r>
              <w:t>Programme evaluation reports are descriptive activity logs — donors cannot see the impact achieved</w:t>
            </w:r>
          </w:p>
        </w:tc>
        <w:tc>
          <w:tcPr>
            <w:tcW w:type="dxa" w:w="4320"/>
          </w:tcPr>
          <w:p>
            <w:r>
              <w:t>Evaluation reports structured around the organisation's theory of change — outputs and outcomes clearly documented</w:t>
            </w:r>
          </w:p>
        </w:tc>
      </w:tr>
      <w:tr>
        <w:tc>
          <w:tcPr>
            <w:tcW w:type="dxa" w:w="4320"/>
          </w:tcPr>
          <w:p>
            <w:r>
              <w:t>Field research and survey data sit on hard drives for months because no one has bandwidth to write it up</w:t>
            </w:r>
          </w:p>
        </w:tc>
        <w:tc>
          <w:tcPr>
            <w:tcW w:type="dxa" w:w="4320"/>
          </w:tcPr>
          <w:p>
            <w:r>
              <w:t>Research data turned into publication-ready reports — work reaches its audience and contributes to policy</w:t>
            </w:r>
          </w:p>
        </w:tc>
      </w:tr>
      <w:tr>
        <w:tc>
          <w:tcPr>
            <w:tcW w:type="dxa" w:w="4320"/>
          </w:tcPr>
          <w:p>
            <w:r>
              <w:t>Policy briefs are 50-page reports that policymakers never read</w:t>
            </w:r>
          </w:p>
        </w:tc>
        <w:tc>
          <w:tcPr>
            <w:tcW w:type="dxa" w:w="4320"/>
          </w:tcPr>
          <w:p>
            <w:r>
              <w:t>6–8 page policy briefs with clear evidence and specific recommendations — read and cited by decision-makers</w:t>
            </w:r>
          </w:p>
        </w:tc>
      </w:tr>
      <w:tr>
        <w:tc>
          <w:tcPr>
            <w:tcW w:type="dxa" w:w="4320"/>
          </w:tcPr>
          <w:p>
            <w:r>
              <w:t>Impact case studies missing — donors have no shareable stories to use in their own communications</w:t>
            </w:r>
          </w:p>
        </w:tc>
        <w:tc>
          <w:tcPr>
            <w:tcW w:type="dxa" w:w="4320"/>
          </w:tcPr>
          <w:p>
            <w:r>
              <w:t>2–4 page case studies developed per programme cycle — donors share them with their own networks</w:t>
            </w:r>
          </w:p>
        </w:tc>
      </w:tr>
      <w:tr>
        <w:tc>
          <w:tcPr>
            <w:tcW w:type="dxa" w:w="4320"/>
          </w:tcPr>
          <w:p>
            <w:r>
              <w:t>Annual report is a last-minute project that strains the entire team for two weeks</w:t>
            </w:r>
          </w:p>
        </w:tc>
        <w:tc>
          <w:tcPr>
            <w:tcW w:type="dxa" w:w="4320"/>
          </w:tcPr>
          <w:p>
            <w:r>
              <w:t>Annual report developed steadily through the year — finalised on schedule without late-stage chaos</w:t>
            </w:r>
          </w:p>
        </w:tc>
      </w:tr>
    </w:tbl>
    <w:p/>
    <w:p>
      <w:pPr>
        <w:pStyle w:val="Heading3"/>
      </w:pPr>
      <w:r>
        <w:t>WHO YOU SERVE</w:t>
      </w:r>
    </w:p>
    <w:p>
      <w:r>
        <w:t>Programme managers, programme directors, and executive directors at small-to-mid-size NGOs, advocacy organisations, social enterprises, and research nonprofits based in the US, UK, Canada, or Australia (with field operations often in Asia, Africa, or Latin America). They have strong programme expertise and field knowledge but limited internal writing capacity. They are perpetually under-resourced relative to their publication and reporting commitments — and they need a writer who understands donor expectations, can meet deadlines reliably, and can communicate complex programme work clearly.</w:t>
      </w:r>
    </w:p>
    <w:p>
      <w:pPr>
        <w:pStyle w:val="Heading3"/>
      </w:pPr>
      <w:r>
        <w:t>THE GUARANTEE</w:t>
      </w:r>
    </w:p>
    <w:p>
      <w:r>
        <w:rPr>
          <w:b/>
        </w:rPr>
        <w:t>If your report or brief is not delivery-ready by your agreed deadline, I redo it at no extra cost.</w:t>
      </w:r>
    </w:p>
    <w:p>
      <w:r>
        <w:br w:type="page"/>
      </w:r>
    </w:p>
    <w:p>
      <w:pPr>
        <w:pStyle w:val="Heading2"/>
      </w:pPr>
      <w:r>
        <w:t>OFFER 3B — For Indian NGO Directors, CSR Partners, and Social Enterprise Founders</w:t>
      </w:r>
    </w:p>
    <w:p>
      <w:pPr>
        <w:spacing w:before="120" w:after="280"/>
      </w:pPr>
      <w:r>
        <w:rPr>
          <w:b/>
          <w:i/>
          <w:sz w:val="23"/>
        </w:rPr>
        <w:t>"I Help Indian NGOs and Social Enterprises Turn Programme Data Into Donor-Ready Impact Reports, CSR Reporting Documents, and Government Scheme Documentation — So You Maintain Funder Confidence, Pass Statutory Audits, and Win the Next CSR Partnership"</w:t>
      </w:r>
    </w:p>
    <w:p>
      <w:pPr>
        <w:pStyle w:val="Heading3"/>
      </w:pPr>
      <w:r>
        <w:t>WHAT YOU WILL DELIVER</w:t>
      </w:r>
    </w:p>
    <w:p>
      <w:pPr>
        <w:pStyle w:val="Heading4"/>
      </w:pPr>
      <w:r>
        <w:t>1. CSR Reporting &amp; Corporate Partner Documentation</w:t>
      </w:r>
    </w:p>
    <w:p>
      <w:pPr>
        <w:pStyle w:val="ListBullet"/>
      </w:pPr>
      <w:r>
        <w:t>Write quarterly and annual CSR reports for corporate funders — documenting activities, beneficiary numbers, outcomes, fund utilisation, and case studies in the format the corporate partner requires</w:t>
      </w:r>
    </w:p>
    <w:p>
      <w:pPr>
        <w:pStyle w:val="ListBullet"/>
      </w:pPr>
      <w:r>
        <w:t>Compile MCA Form CSR-2 and statutory CSR reporting documents for corporate partners' annual reporting obligations under Section 135 of the Companies Act</w:t>
      </w:r>
    </w:p>
    <w:p>
      <w:pPr>
        <w:pStyle w:val="ListBullet"/>
      </w:pPr>
      <w:r>
        <w:t>Prepare CSR proposal documents and concept notes for new corporate partnerships — framing the NGO's work in the language CSR managers and committees use to evaluate proposals</w:t>
      </w:r>
    </w:p>
    <w:p>
      <w:pPr>
        <w:pStyle w:val="ListBullet"/>
      </w:pPr>
      <w:r>
        <w:t>Maintain a standard CSR reporting template library for the NGO so the same data can be repurposed efficiently across multiple corporate partners</w:t>
      </w:r>
    </w:p>
    <w:p>
      <w:pPr>
        <w:pStyle w:val="ListBullet"/>
      </w:pPr>
      <w:r>
        <w:t>Write impact assessment summaries that meet the Companies (CSR Policy) Rules requirements for projects above the regulatory threshold</w:t>
      </w:r>
    </w:p>
    <w:p>
      <w:pPr>
        <w:spacing w:before="80" w:after="280"/>
      </w:pPr>
      <w:r>
        <w:rPr>
          <w:b/>
          <w:i/>
        </w:rPr>
        <w:t xml:space="preserve">How This Helps: </w:t>
      </w:r>
      <w:r>
        <w:rPr>
          <w:i/>
        </w:rPr>
        <w:t>Indian corporate CSR is now a regulated, statutory activity — and corporates require their NGO partners to produce reporting in formats that satisfy their own MCA filings and board reporting. NGOs that produce reporting matching the corporate's requirements first time are kept and renewed. NGOs that produce vague activity reports without proper utilisation breakdowns are quietly dropped in the next CSR cycle.</w:t>
      </w:r>
    </w:p>
    <w:p>
      <w:pPr>
        <w:pStyle w:val="Heading4"/>
      </w:pPr>
      <w:r>
        <w:t>2. Government Scheme Documentation &amp; Empanelment Documents</w:t>
      </w:r>
    </w:p>
    <w:p>
      <w:pPr>
        <w:pStyle w:val="ListBullet"/>
      </w:pPr>
      <w:r>
        <w:t>Prepare empanelment documentation for state and central government schemes — NITI Aayog Darpan registration, FCRA compliance documents, and scheme-specific implementing agency applications</w:t>
      </w:r>
    </w:p>
    <w:p>
      <w:pPr>
        <w:pStyle w:val="ListBullet"/>
      </w:pPr>
      <w:r>
        <w:t>Write programme proposals for state and central government schemes (NRLM, ICDS, NHM, Swachh Bharat, PMKVY, and state-level schemes) in the language and format these schemes require</w:t>
      </w:r>
    </w:p>
    <w:p>
      <w:pPr>
        <w:pStyle w:val="ListBullet"/>
      </w:pPr>
      <w:r>
        <w:t>Draft scheme utilisation reports, progress reports, and audit-ready documentation aligned to the scheme's monitoring and evaluation framework</w:t>
      </w:r>
    </w:p>
    <w:p>
      <w:pPr>
        <w:pStyle w:val="ListBullet"/>
      </w:pPr>
      <w:r>
        <w:t>Prepare documentation for District Administration coordination — MoUs with district authorities, monthly progress reports, and field visit reports</w:t>
      </w:r>
    </w:p>
    <w:p>
      <w:pPr>
        <w:spacing w:before="80" w:after="280"/>
      </w:pPr>
      <w:r>
        <w:rPr>
          <w:b/>
          <w:i/>
        </w:rPr>
        <w:t xml:space="preserve">How This Helps: </w:t>
      </w:r>
      <w:r>
        <w:rPr>
          <w:i/>
        </w:rPr>
        <w:t>Government scheme funding is one of the largest pools of available funding for Indian NGOs — but the documentation requirements are dense, format-specific, and unforgiving. NGOs that have systematic documentation get repeat scheme partnerships; NGOs that do not are limited to the same one or two donors year after year.</w:t>
      </w:r>
    </w:p>
    <w:p>
      <w:pPr>
        <w:pStyle w:val="Heading4"/>
      </w:pPr>
      <w:r>
        <w:t>3. Foundation &amp; International Donor Reports</w:t>
      </w:r>
    </w:p>
    <w:p>
      <w:pPr>
        <w:pStyle w:val="ListBullet"/>
      </w:pPr>
      <w:r>
        <w:t>Write donor reports for international foundations active in India — Gates Foundation, Ford Foundation, MacArthur Foundation, Tata Trusts, Azim Premji Foundation, Wellcome Trust, ATE Chandra, Rohini Nilekani Philanthropies</w:t>
      </w:r>
    </w:p>
    <w:p>
      <w:pPr>
        <w:pStyle w:val="ListBullet"/>
      </w:pPr>
      <w:r>
        <w:t>Format reports to each donor's specific reporting framework — narrative reports, financial utilisation reports, impact dashboards</w:t>
      </w:r>
    </w:p>
    <w:p>
      <w:pPr>
        <w:pStyle w:val="ListBullet"/>
      </w:pPr>
      <w:r>
        <w:t>Compile programme evidence (quantitative outcome data + qualitative beneficiary stories + field photos) into compelling donor-facing narratives</w:t>
      </w:r>
    </w:p>
    <w:p>
      <w:pPr>
        <w:pStyle w:val="ListBullet"/>
      </w:pPr>
      <w:r>
        <w:t>Prepare grant renewal documentation that links current results to the original proposal commitments — making the case for continued or expanded funding</w:t>
      </w:r>
    </w:p>
    <w:p>
      <w:pPr>
        <w:spacing w:before="80" w:after="280"/>
      </w:pPr>
      <w:r>
        <w:rPr>
          <w:b/>
          <w:i/>
        </w:rPr>
        <w:t xml:space="preserve">How This Helps: </w:t>
      </w:r>
      <w:r>
        <w:rPr>
          <w:i/>
        </w:rPr>
        <w:t>Indian foundations and international donors active in India both expect a level of reporting rigor that many NGOs struggle to deliver consistently. Reports that demonstrate clear outcome measurement, honest reflection on what worked and what did not, and a credible path forward are the reports that win renewal — and lead to introductions to the donor's peer foundations.</w:t>
      </w:r>
    </w:p>
    <w:p>
      <w:pPr>
        <w:pStyle w:val="Heading4"/>
      </w:pPr>
      <w:r>
        <w:t>4. Impact Case Studies &amp; Annual Reports</w:t>
      </w:r>
    </w:p>
    <w:p>
      <w:pPr>
        <w:pStyle w:val="ListBullet"/>
      </w:pPr>
      <w:r>
        <w:t>Develop programme impact case studies — 2–4 page beneficiary stories with photos, quotes, and outcome data showing the NGO's work in human terms</w:t>
      </w:r>
    </w:p>
    <w:p>
      <w:pPr>
        <w:pStyle w:val="ListBullet"/>
      </w:pPr>
      <w:r>
        <w:t>Write the organisation's annual report combining programme highlights, audited financial summary, impact data, and forward strategy</w:t>
      </w:r>
    </w:p>
    <w:p>
      <w:pPr>
        <w:pStyle w:val="ListBullet"/>
      </w:pPr>
      <w:r>
        <w:t>Prepare donor pitch decks and corporate partnership presentations — visualising the NGO's reach, model, and outcomes for new funder conversations</w:t>
      </w:r>
    </w:p>
    <w:p>
      <w:pPr>
        <w:pStyle w:val="ListBullet"/>
      </w:pPr>
      <w:r>
        <w:t>Maintain a standard library of case studies, programme one-pagers, and donor-ready visuals so the team can respond to funder requests in days, not weeks</w:t>
      </w:r>
    </w:p>
    <w:p>
      <w:pPr>
        <w:spacing w:before="80" w:after="280"/>
      </w:pPr>
      <w:r>
        <w:rPr>
          <w:b/>
          <w:i/>
        </w:rPr>
        <w:t xml:space="preserve">How This Helps: </w:t>
      </w:r>
      <w:r>
        <w:rPr>
          <w:i/>
        </w:rPr>
        <w:t>An Indian NGO's most valuable asset is its impact narrative. Case studies and well-produced annual reports are what circulate through CSR teams, foundation programme officers, and HNI donor networks — generating warm introductions that grant applications alone cannot. Investing in narrative assets is investing in pipeline.</w:t>
      </w:r>
    </w:p>
    <w:p>
      <w:pPr>
        <w:pStyle w:val="Heading4"/>
      </w:pPr>
      <w:r>
        <w:t>5. Policy Briefs &amp; Advocacy Documentation</w:t>
      </w:r>
    </w:p>
    <w:p>
      <w:pPr>
        <w:pStyle w:val="ListBullet"/>
      </w:pPr>
      <w:r>
        <w:t>Write policy briefs (4–8 pages) summarising the NGO's programme evidence and policy recommendations for state and central government audiences</w:t>
      </w:r>
    </w:p>
    <w:p>
      <w:pPr>
        <w:pStyle w:val="ListBullet"/>
      </w:pPr>
      <w:r>
        <w:t>Prepare consultation submissions for NITI Aayog, state planning commissions, parliamentary committees, and ministerial review processes</w:t>
      </w:r>
    </w:p>
    <w:p>
      <w:pPr>
        <w:pStyle w:val="ListBullet"/>
      </w:pPr>
      <w:r>
        <w:t>Develop position papers and white papers on the NGO's focus area — establishing the organisation as a credible voice in policy conversations</w:t>
      </w:r>
    </w:p>
    <w:p>
      <w:pPr>
        <w:pStyle w:val="ListBullet"/>
      </w:pPr>
      <w:r>
        <w:t>Write op-eds, blog posts, and thought leadership content under the executive director's byline for The Hindu, Indian Express, IDR, and sector publications</w:t>
      </w:r>
    </w:p>
    <w:p>
      <w:pPr>
        <w:spacing w:before="80" w:after="280"/>
      </w:pPr>
      <w:r>
        <w:rPr>
          <w:b/>
          <w:i/>
        </w:rPr>
        <w:t xml:space="preserve">How This Helps: </w:t>
      </w:r>
      <w:r>
        <w:rPr>
          <w:i/>
        </w:rPr>
        <w:t>Indian policy decisions are shaped through NITI Aayog consultations, parliamentary standing committees, and state planning processes — and credible NGO voices with documented field evidence have disproportionate influence in these forums. A well-written policy brief turns programme experience into national policy impact.</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CSR partner drops the NGO at renewal because quarterly reports were vague and incomplete</w:t>
            </w:r>
          </w:p>
        </w:tc>
        <w:tc>
          <w:tcPr>
            <w:tcW w:type="dxa" w:w="4320"/>
          </w:tcPr>
          <w:p>
            <w:r>
              <w:t>CSR reports submitted in the corporate's required format, on time, with full utilisation breakdown — partnership renewed</w:t>
            </w:r>
          </w:p>
        </w:tc>
      </w:tr>
      <w:tr>
        <w:tc>
          <w:tcPr>
            <w:tcW w:type="dxa" w:w="4320"/>
          </w:tcPr>
          <w:p>
            <w:r>
              <w:t>Government scheme empanelment delayed because Darpan registration and compliance documents are incomplete</w:t>
            </w:r>
          </w:p>
        </w:tc>
        <w:tc>
          <w:tcPr>
            <w:tcW w:type="dxa" w:w="4320"/>
          </w:tcPr>
          <w:p>
            <w:r>
              <w:t>All statutory documentation maintained current — empanelment approvals processed in standard timeline</w:t>
            </w:r>
          </w:p>
        </w:tc>
      </w:tr>
      <w:tr>
        <w:tc>
          <w:tcPr>
            <w:tcW w:type="dxa" w:w="4320"/>
          </w:tcPr>
          <w:p>
            <w:r>
              <w:t>Donor report contains activity logs but no outcome measurement — foundation declines renewal</w:t>
            </w:r>
          </w:p>
        </w:tc>
        <w:tc>
          <w:tcPr>
            <w:tcW w:type="dxa" w:w="4320"/>
          </w:tcPr>
          <w:p>
            <w:r>
              <w:t>Reports structured around outcome data and theory of change — foundation funds renewal and introduces peer funders</w:t>
            </w:r>
          </w:p>
        </w:tc>
      </w:tr>
      <w:tr>
        <w:tc>
          <w:tcPr>
            <w:tcW w:type="dxa" w:w="4320"/>
          </w:tcPr>
          <w:p>
            <w:r>
              <w:t>Annual report is a last-minute scramble that strains the entire team</w:t>
            </w:r>
          </w:p>
        </w:tc>
        <w:tc>
          <w:tcPr>
            <w:tcW w:type="dxa" w:w="4320"/>
          </w:tcPr>
          <w:p>
            <w:r>
              <w:t>Annual report developed steadily through the year — published on schedule with full financial and programme data</w:t>
            </w:r>
          </w:p>
        </w:tc>
      </w:tr>
      <w:tr>
        <w:tc>
          <w:tcPr>
            <w:tcW w:type="dxa" w:w="4320"/>
          </w:tcPr>
          <w:p>
            <w:r>
              <w:t>Impact case studies missing — corporate CSR teams have no shareable stories for their own reporting</w:t>
            </w:r>
          </w:p>
        </w:tc>
        <w:tc>
          <w:tcPr>
            <w:tcW w:type="dxa" w:w="4320"/>
          </w:tcPr>
          <w:p>
            <w:r>
              <w:t>2–4 page case studies developed per programme cycle — corporate partners feature them in their own annual reports</w:t>
            </w:r>
          </w:p>
        </w:tc>
      </w:tr>
      <w:tr>
        <w:tc>
          <w:tcPr>
            <w:tcW w:type="dxa" w:w="4320"/>
          </w:tcPr>
          <w:p>
            <w:r>
              <w:t>Policy work limited to ad hoc op-eds — no systematic engagement with NITI Aayog or parliamentary consultations</w:t>
            </w:r>
          </w:p>
        </w:tc>
        <w:tc>
          <w:tcPr>
            <w:tcW w:type="dxa" w:w="4320"/>
          </w:tcPr>
          <w:p>
            <w:r>
              <w:t>Structured policy brief programme — NGO voice appears in formal consultations and earns credibility in policy circles</w:t>
            </w:r>
          </w:p>
        </w:tc>
      </w:tr>
    </w:tbl>
    <w:p/>
    <w:p>
      <w:pPr>
        <w:pStyle w:val="Heading3"/>
      </w:pPr>
      <w:r>
        <w:t>WHO YOU SERVE</w:t>
      </w:r>
    </w:p>
    <w:p>
      <w:r>
        <w:t>Executive directors and programme heads at Indian NGOs, social enterprises, and trust-based development organisations who are managing CSR partnerships with Indian corporates, state and central government scheme implementation, foundation grants, or international donor relationships. Their organisations are small enough that the executive director is also the chief writer — and reporting work eats into the programme leadership time the NGO genuinely needs. They are willing to engage external writers who understand the Indian regulatory environment (CSR law, FCRA, scheme documentation) and can produce documents that pass both donor scrutiny and statutory audit.</w:t>
      </w:r>
    </w:p>
    <w:p>
      <w:pPr>
        <w:pStyle w:val="Heading3"/>
      </w:pPr>
      <w:r>
        <w:t>THE GUARANTEE</w:t>
      </w:r>
    </w:p>
    <w:p>
      <w:r>
        <w:rPr>
          <w:b/>
        </w:rPr>
        <w:t>If your report or proposal is not submission-ready by your deadline, I redo it at no extra cost.</w:t>
      </w:r>
    </w:p>
    <w:p>
      <w:r>
        <w:br w:type="page"/>
      </w:r>
    </w:p>
    <w:p>
      <w:pPr>
        <w:pStyle w:val="Heading1"/>
      </w:pPr>
      <w:r>
        <w:t>OFFER 4 — INDIAN SURVEY RESEARCH &amp; FIELD VALIDATION</w:t>
      </w:r>
    </w:p>
    <w:p>
      <w:pPr>
        <w:pStyle w:val="Heading2"/>
      </w:pPr>
      <w:r>
        <w:t>OFFER 4A — Indian Survey Research for Academic Researchers at US, UK, Canada &amp; Australian Universities</w:t>
      </w:r>
    </w:p>
    <w:p>
      <w:pPr>
        <w:spacing w:before="120" w:after="280"/>
      </w:pPr>
      <w:r>
        <w:rPr>
          <w:b/>
          <w:i/>
          <w:sz w:val="23"/>
        </w:rPr>
        <w:t>"I Help Foreign Academic Researchers Run Primary Survey Research on Indian Populations — Survey Design, Data Collection From 100–500 Verified Respondents, Analysis, and a Publication-Ready Results Section — Delivered in 2–3 Weeks Instead of the 3–4 Months It Would Take You"</w:t>
      </w:r>
    </w:p>
    <w:p>
      <w:pPr>
        <w:pStyle w:val="Heading3"/>
      </w:pPr>
      <w:r>
        <w:t>WHAT YOU WILL DELIVER</w:t>
      </w:r>
    </w:p>
    <w:p>
      <w:pPr>
        <w:pStyle w:val="Heading4"/>
      </w:pPr>
      <w:r>
        <w:t>1. Survey Design &amp; Instrument Development</w:t>
      </w:r>
    </w:p>
    <w:p>
      <w:pPr>
        <w:pStyle w:val="ListBullet"/>
      </w:pPr>
      <w:r>
        <w:t>Study the researcher's existing papers, theoretical framework, and research hypothesis to understand what needs to be tested in an Indian context</w:t>
      </w:r>
    </w:p>
    <w:p>
      <w:pPr>
        <w:pStyle w:val="ListBullet"/>
      </w:pPr>
      <w:r>
        <w:t>Design a culturally adapted survey instrument that accurately tests the hypothesis with an Indian population — adjusting terminology, examples, and framing where necessary for cultural validity (not just translation)</w:t>
      </w:r>
    </w:p>
    <w:p>
      <w:pPr>
        <w:pStyle w:val="ListBullet"/>
      </w:pPr>
      <w:r>
        <w:t>Build the survey in a professional tool (Qualtrics, SurveyMonkey, Google Forms) as required</w:t>
      </w:r>
    </w:p>
    <w:p>
      <w:pPr>
        <w:pStyle w:val="ListBullet"/>
      </w:pPr>
      <w:r>
        <w:t>Pilot-test the survey with 10–15 participants and refine based on response patterns and feedback</w:t>
      </w:r>
    </w:p>
    <w:p>
      <w:pPr>
        <w:pStyle w:val="ListBullet"/>
      </w:pPr>
      <w:r>
        <w:t>Prepare an IRB/Ethics Committee submission summary if the researcher's institution requires it for international data collection</w:t>
      </w:r>
    </w:p>
    <w:p>
      <w:pPr>
        <w:spacing w:before="80" w:after="280"/>
      </w:pPr>
      <w:r>
        <w:rPr>
          <w:b/>
          <w:i/>
        </w:rPr>
        <w:t xml:space="preserve">How This Helps: </w:t>
      </w:r>
      <w:r>
        <w:rPr>
          <w:i/>
        </w:rPr>
        <w:t>Cross-cultural research findings that are tested only in Western samples face increasing scrutiny from top-tier journals. Cross-cultural replication is a major gap in social science, psychology, education, public health, and behavioural research — and journals increasingly value studies that include non-Western populations. The survey design work ensures the instrument is valid for an Indian context, not merely translated — which is what reviewers actually check.</w:t>
      </w:r>
    </w:p>
    <w:p>
      <w:pPr>
        <w:pStyle w:val="Heading4"/>
      </w:pPr>
      <w:r>
        <w:t>2. Data Collection — 100–500 Verified Indian Respondents</w:t>
      </w:r>
    </w:p>
    <w:p>
      <w:pPr>
        <w:pStyle w:val="ListBullet"/>
      </w:pPr>
      <w:r>
        <w:t>Recruit survey participants from relevant Indian communities using WhatsApp/Telegram community groups, LinkedIn, Reddit India, alumni networks, and topic-specific online communities</w:t>
      </w:r>
    </w:p>
    <w:p>
      <w:pPr>
        <w:pStyle w:val="ListBullet"/>
      </w:pPr>
      <w:r>
        <w:t>Personalise outreach messages for each community segment to maximise response rates</w:t>
      </w:r>
    </w:p>
    <w:p>
      <w:pPr>
        <w:pStyle w:val="ListBullet"/>
      </w:pPr>
      <w:r>
        <w:t>Implement a two-touch follow-up system (Day 1 initial request, Day 3 personalised follow-up) achieving 35–40% response rates instead of the typical 15–20%</w:t>
      </w:r>
    </w:p>
    <w:p>
      <w:pPr>
        <w:pStyle w:val="ListBullet"/>
      </w:pPr>
      <w:r>
        <w:t>Screen responses for quality and validity — removing incomplete, duplicate, or inconsistent submissions</w:t>
      </w:r>
    </w:p>
    <w:p>
      <w:pPr>
        <w:pStyle w:val="ListBullet"/>
      </w:pPr>
      <w:r>
        <w:t>Deliver clean, verified response data within 2–3 weeks</w:t>
      </w:r>
    </w:p>
    <w:p>
      <w:pPr>
        <w:spacing w:before="80" w:after="280"/>
      </w:pPr>
      <w:r>
        <w:rPr>
          <w:b/>
          <w:i/>
        </w:rPr>
        <w:t xml:space="preserve">How This Helps: </w:t>
      </w:r>
      <w:r>
        <w:rPr>
          <w:i/>
        </w:rPr>
        <w:t>Collecting primary data from India is operationally impossible for a researcher based in Boston or London. They have no networks, no local contacts, no understanding of which communities to approach, and no ability to do personalised follow-up at scale. What would take them 3–4 months of coordination (if they could do it at all) takes you 2–3 weeks using your existing networks and systematic outreach.</w:t>
      </w:r>
    </w:p>
    <w:p>
      <w:pPr>
        <w:pStyle w:val="Heading4"/>
      </w:pPr>
      <w:r>
        <w:t>3. Quantitative Data Analysis &amp; Statistical Reporting</w:t>
      </w:r>
    </w:p>
    <w:p>
      <w:pPr>
        <w:pStyle w:val="ListBullet"/>
      </w:pPr>
      <w:r>
        <w:t>Download, clean, and prepare the data set — handle missing values, outliers, and response quality issues</w:t>
      </w:r>
    </w:p>
    <w:p>
      <w:pPr>
        <w:pStyle w:val="ListBullet"/>
      </w:pPr>
      <w:r>
        <w:t>Run descriptive analysis: demographic breakdowns, frequency distributions, and response patterns across segments (age, gender, education, urban/rural, region)</w:t>
      </w:r>
    </w:p>
    <w:p>
      <w:pPr>
        <w:pStyle w:val="ListBullet"/>
      </w:pPr>
      <w:r>
        <w:t>Run inferential analysis as required: comparative tests, correlation, regression, factor analysis, or other approaches appropriate to the research design</w:t>
      </w:r>
    </w:p>
    <w:p>
      <w:pPr>
        <w:pStyle w:val="ListBullet"/>
      </w:pPr>
      <w:r>
        <w:t>Produce publication-ready tables and figures (APA-style or journal-specific formatting)</w:t>
      </w:r>
    </w:p>
    <w:p>
      <w:pPr>
        <w:pStyle w:val="ListBullet"/>
      </w:pPr>
      <w:r>
        <w:t>Provide an analysis decisions log documenting every methodological choice made — supporting reproducibility and peer review responses</w:t>
      </w:r>
    </w:p>
    <w:p>
      <w:pPr>
        <w:spacing w:before="80" w:after="280"/>
      </w:pPr>
      <w:r>
        <w:rPr>
          <w:b/>
          <w:i/>
        </w:rPr>
        <w:t xml:space="preserve">How This Helps: </w:t>
      </w:r>
      <w:r>
        <w:rPr>
          <w:i/>
        </w:rPr>
        <w:t>Raw survey data is not publishable. The researcher needs a methodologically sound, clearly written results section with correctly interpreted statistics. When you deliver complete, draft-ready results with data visualisations, tables, and narrative interpretation, the researcher can review and integrate it into their paper within hours rather than weeks.</w:t>
      </w:r>
    </w:p>
    <w:p>
      <w:pPr>
        <w:pStyle w:val="Heading4"/>
      </w:pPr>
      <w:r>
        <w:t>4. Qualitative Component &amp; Interview Data (where applicable)</w:t>
      </w:r>
    </w:p>
    <w:p>
      <w:pPr>
        <w:pStyle w:val="ListBullet"/>
      </w:pPr>
      <w:r>
        <w:t>Conduct semi-structured interviews or focus group discussions with a subset of survey respondents to complement the quantitative findings</w:t>
      </w:r>
    </w:p>
    <w:p>
      <w:pPr>
        <w:pStyle w:val="ListBullet"/>
      </w:pPr>
      <w:r>
        <w:t>Transcribe, code, and thematically analyse qualitative data using NVivo, MAXQDA, or systematic manual coding</w:t>
      </w:r>
    </w:p>
    <w:p>
      <w:pPr>
        <w:pStyle w:val="ListBullet"/>
      </w:pPr>
      <w:r>
        <w:t>Identify and document the themes that explain or contextualise the quantitative findings</w:t>
      </w:r>
    </w:p>
    <w:p>
      <w:pPr>
        <w:pStyle w:val="ListBullet"/>
      </w:pPr>
      <w:r>
        <w:t>Provide verbatim quotes (with respondent consent) that can be used in the paper to humanise the data</w:t>
      </w:r>
    </w:p>
    <w:p>
      <w:pPr>
        <w:spacing w:before="80" w:after="280"/>
      </w:pPr>
      <w:r>
        <w:rPr>
          <w:b/>
          <w:i/>
        </w:rPr>
        <w:t xml:space="preserve">How This Helps: </w:t>
      </w:r>
      <w:r>
        <w:rPr>
          <w:i/>
        </w:rPr>
        <w:t>Mixed-methods studies are increasingly preferred by top journals because they combine statistical generalisability with explanatory depth. A clean qualitative component — interviews, focus groups, thematic analysis — turns a single-method study into a stronger, more publishable paper.</w:t>
      </w:r>
    </w:p>
    <w:p>
      <w:pPr>
        <w:pStyle w:val="Heading4"/>
      </w:pPr>
      <w:r>
        <w:t>5. Draft Results Section &amp; Methodological Documentation</w:t>
      </w:r>
    </w:p>
    <w:p>
      <w:pPr>
        <w:pStyle w:val="ListBullet"/>
      </w:pPr>
      <w:r>
        <w:t>Write a complete first-draft Results section (IMRAD format) covering sample characteristics, methodology, findings, and interpretation</w:t>
      </w:r>
    </w:p>
    <w:p>
      <w:pPr>
        <w:pStyle w:val="ListBullet"/>
      </w:pPr>
      <w:r>
        <w:t>Write the Methods section documenting sampling approach, instrument, ethics protocol, and analytical methods</w:t>
      </w:r>
    </w:p>
    <w:p>
      <w:pPr>
        <w:pStyle w:val="ListBullet"/>
      </w:pPr>
      <w:r>
        <w:t>Highlight implications of the Indian findings for the researcher's original theory — what do they confirm? What do they challenge? Where does the cross-cultural comparison reveal nuance?</w:t>
      </w:r>
    </w:p>
    <w:p>
      <w:pPr>
        <w:pStyle w:val="ListBullet"/>
      </w:pPr>
      <w:r>
        <w:t>Deliver all source data, codebooks, and analysis files in clean, reproducible format</w:t>
      </w:r>
    </w:p>
    <w:p>
      <w:pPr>
        <w:spacing w:before="80" w:after="280"/>
      </w:pPr>
      <w:r>
        <w:rPr>
          <w:b/>
          <w:i/>
        </w:rPr>
        <w:t xml:space="preserve">How This Helps: </w:t>
      </w:r>
      <w:r>
        <w:rPr>
          <w:i/>
        </w:rPr>
        <w:t>Most academic researchers want a co-authored paper, not just data. When the deliverable includes a draft-quality Methods and Results section that the researcher can refine into their own voice, the path to a published cross-cultural paper is compressed from 12 months to 3 months.</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Researcher has a Western-population study but no ability to collect Indian data — paper sits stalled for 12+ months</w:t>
            </w:r>
          </w:p>
        </w:tc>
        <w:tc>
          <w:tcPr>
            <w:tcW w:type="dxa" w:w="4320"/>
          </w:tcPr>
          <w:p>
            <w:r>
              <w:t>Indian survey data collected and analysed in 2–3 weeks — paper becomes a cross-cultural comparison ready for submission</w:t>
            </w:r>
          </w:p>
        </w:tc>
      </w:tr>
      <w:tr>
        <w:tc>
          <w:tcPr>
            <w:tcW w:type="dxa" w:w="4320"/>
          </w:tcPr>
          <w:p>
            <w:r>
              <w:t>Research is rejected by reviewers asking for cross-cultural validation</w:t>
            </w:r>
          </w:p>
        </w:tc>
        <w:tc>
          <w:tcPr>
            <w:tcW w:type="dxa" w:w="4320"/>
          </w:tcPr>
          <w:p>
            <w:r>
              <w:t>Cross-cultural replication delivered — paper resubmitted with Indian sample and accepted</w:t>
            </w:r>
          </w:p>
        </w:tc>
      </w:tr>
      <w:tr>
        <w:tc>
          <w:tcPr>
            <w:tcW w:type="dxa" w:w="4320"/>
          </w:tcPr>
          <w:p>
            <w:r>
              <w:t>Survey adapted for India through poor translation — fails cultural validity and gets flagged by reviewers</w:t>
            </w:r>
          </w:p>
        </w:tc>
        <w:tc>
          <w:tcPr>
            <w:tcW w:type="dxa" w:w="4320"/>
          </w:tcPr>
          <w:p>
            <w:r>
              <w:t>Survey culturally adapted (not just translated) — instrument validity defensible in peer review</w:t>
            </w:r>
          </w:p>
        </w:tc>
      </w:tr>
      <w:tr>
        <w:tc>
          <w:tcPr>
            <w:tcW w:type="dxa" w:w="4320"/>
          </w:tcPr>
          <w:p>
            <w:r>
              <w:t>Response rate stuck at 15–20% — sample too small for meaningful analysis</w:t>
            </w:r>
          </w:p>
        </w:tc>
        <w:tc>
          <w:tcPr>
            <w:tcW w:type="dxa" w:w="4320"/>
          </w:tcPr>
          <w:p>
            <w:r>
              <w:t>35–40% response rate through community-targeted outreach — adequate sample for inferential statistics</w:t>
            </w:r>
          </w:p>
        </w:tc>
      </w:tr>
      <w:tr>
        <w:tc>
          <w:tcPr>
            <w:tcW w:type="dxa" w:w="4320"/>
          </w:tcPr>
          <w:p>
            <w:r>
              <w:t>Researcher cannot interpret demographic patterns specific to India — analysis is shallow</w:t>
            </w:r>
          </w:p>
        </w:tc>
        <w:tc>
          <w:tcPr>
            <w:tcW w:type="dxa" w:w="4320"/>
          </w:tcPr>
          <w:p>
            <w:r>
              <w:t>Analysis includes Indian-context interpretation (urban/rural, region, caste/community where relevant) — paper has depth</w:t>
            </w:r>
          </w:p>
        </w:tc>
      </w:tr>
      <w:tr>
        <w:tc>
          <w:tcPr>
            <w:tcW w:type="dxa" w:w="4320"/>
          </w:tcPr>
          <w:p>
            <w:r>
              <w:t>Research grant cycle ends with no publishable output from the India component</w:t>
            </w:r>
          </w:p>
        </w:tc>
        <w:tc>
          <w:tcPr>
            <w:tcW w:type="dxa" w:w="4320"/>
          </w:tcPr>
          <w:p>
            <w:r>
              <w:t>Publication-ready Results section delivered — grant closes with a tangible output for the next funding application</w:t>
            </w:r>
          </w:p>
        </w:tc>
      </w:tr>
    </w:tbl>
    <w:p/>
    <w:p>
      <w:pPr>
        <w:pStyle w:val="Heading3"/>
      </w:pPr>
      <w:r>
        <w:t>WHO YOU SERVE</w:t>
      </w:r>
    </w:p>
    <w:p>
      <w:r>
        <w:t>Social science, psychology, education, public health, economics, or behavioural science researchers based at universities in the US, UK, Canada, or Australia whose research has primarily been conducted with Western populations. They are responding to journal and funder pressure to demonstrate cross-cultural validity. They have strong theoretical frameworks and Western data but no ability to collect primary data in India themselves. They are willing to pay between USD 1,500 and USD 5,000 for a complete Indian survey deliverable that turns their Western-population study into a publishable cross-cultural paper.</w:t>
      </w:r>
    </w:p>
    <w:p>
      <w:pPr>
        <w:pStyle w:val="Heading3"/>
      </w:pPr>
      <w:r>
        <w:t>THE GUARANTEE</w:t>
      </w:r>
    </w:p>
    <w:p>
      <w:r>
        <w:rPr>
          <w:b/>
        </w:rPr>
        <w:t>If your survey data and results section are not delivered within the agreed timeline (typically 2–3 weeks for 100–500 respondents), the next round of data collection is included at no extra cost.</w:t>
      </w:r>
    </w:p>
    <w:p>
      <w:r>
        <w:br w:type="page"/>
      </w:r>
    </w:p>
    <w:p>
      <w:pPr>
        <w:pStyle w:val="Heading2"/>
      </w:pPr>
      <w:r>
        <w:t>OFFER 4B — Indian User Research and Market Validation for B2B SaaS Companies and Market Research Agencies</w:t>
      </w:r>
    </w:p>
    <w:p>
      <w:pPr>
        <w:spacing w:before="120" w:after="280"/>
      </w:pPr>
      <w:r>
        <w:rPr>
          <w:b/>
          <w:i/>
          <w:sz w:val="23"/>
        </w:rPr>
        <w:t>"I Help B2B SaaS Companies and Market Research Agencies Run User Interviews, Surveys, and Market Validation Studies on Indian Audiences — Designed, Collected, and Analysed in 2–3 Weeks — So You Make Product and Market Entry Decisions Based on Real Data Instead of Assumptions"</w:t>
      </w:r>
    </w:p>
    <w:p>
      <w:pPr>
        <w:pStyle w:val="Heading3"/>
      </w:pPr>
      <w:r>
        <w:t>WHAT YOU WILL DELIVER</w:t>
      </w:r>
    </w:p>
    <w:p>
      <w:pPr>
        <w:pStyle w:val="Heading4"/>
      </w:pPr>
      <w:r>
        <w:t>1. Research Design &amp; Recruitment Strategy</w:t>
      </w:r>
    </w:p>
    <w:p>
      <w:pPr>
        <w:pStyle w:val="ListBullet"/>
      </w:pPr>
      <w:r>
        <w:t>Work with the product team or research lead to define the research question — user behaviour, willingness to pay, feature prioritisation, market sizing, or persona validation</w:t>
      </w:r>
    </w:p>
    <w:p>
      <w:pPr>
        <w:pStyle w:val="ListBullet"/>
      </w:pPr>
      <w:r>
        <w:t>Design the appropriate research instrument: structured survey, semi-structured interview guide, focus group protocol, or usability study script</w:t>
      </w:r>
    </w:p>
    <w:p>
      <w:pPr>
        <w:pStyle w:val="ListBullet"/>
      </w:pPr>
      <w:r>
        <w:t>Define the target respondent profile (industry, role, company size, geography, software stack) and develop a recruitment screener that filters out unqualified respondents</w:t>
      </w:r>
    </w:p>
    <w:p>
      <w:pPr>
        <w:pStyle w:val="ListBullet"/>
      </w:pPr>
      <w:r>
        <w:t>Build the screener and instrument in Qualtrics, Typeform, or the agency's preferred platform</w:t>
      </w:r>
    </w:p>
    <w:p>
      <w:pPr>
        <w:pStyle w:val="ListBullet"/>
      </w:pPr>
      <w:r>
        <w:t>Pilot with 5 respondents to validate the instrument and refine question wording before full recruitment</w:t>
      </w:r>
    </w:p>
    <w:p>
      <w:pPr>
        <w:spacing w:before="80" w:after="280"/>
      </w:pPr>
      <w:r>
        <w:rPr>
          <w:b/>
          <w:i/>
        </w:rPr>
        <w:t xml:space="preserve">How This Helps: </w:t>
      </w:r>
      <w:r>
        <w:rPr>
          <w:i/>
        </w:rPr>
        <w:t>User research is only useful if the respondents actually match the target buyer. Most failed user research projects fail at recruitment, not analysis — talking to the wrong people produces clean data that misleads the product team. A rigorous screener is the foundation of every credible research deliverable.</w:t>
      </w:r>
    </w:p>
    <w:p>
      <w:pPr>
        <w:pStyle w:val="Heading4"/>
      </w:pPr>
      <w:r>
        <w:t>2. Recruitment &amp; Scheduling — 50–200 Verified Indian Respondents</w:t>
      </w:r>
    </w:p>
    <w:p>
      <w:pPr>
        <w:pStyle w:val="ListBullet"/>
      </w:pPr>
      <w:r>
        <w:t>Source qualified respondents through LinkedIn outreach, professional community groups (Slack, Discord, WhatsApp), targeted Reddit subs, and respondent networks</w:t>
      </w:r>
    </w:p>
    <w:p>
      <w:pPr>
        <w:pStyle w:val="ListBullet"/>
      </w:pPr>
      <w:r>
        <w:t>Verify respondent qualification against the screener before scheduling — current role, company, decision-making authority, software usage</w:t>
      </w:r>
    </w:p>
    <w:p>
      <w:pPr>
        <w:pStyle w:val="ListBullet"/>
      </w:pPr>
      <w:r>
        <w:t>Schedule interviews or distribute surveys with a 2–3 week recruitment window</w:t>
      </w:r>
    </w:p>
    <w:p>
      <w:pPr>
        <w:pStyle w:val="ListBullet"/>
      </w:pPr>
      <w:r>
        <w:t>Manage participant incentives (Amazon vouchers, charity donations, or cash via UPI) and consent forms</w:t>
      </w:r>
    </w:p>
    <w:p>
      <w:pPr>
        <w:pStyle w:val="ListBullet"/>
      </w:pPr>
      <w:r>
        <w:t>Achieve completion rates of 70–80% for interviews and 40–50% for surveys through systematic follow-up</w:t>
      </w:r>
    </w:p>
    <w:p>
      <w:pPr>
        <w:spacing w:before="80" w:after="280"/>
      </w:pPr>
      <w:r>
        <w:rPr>
          <w:b/>
          <w:i/>
        </w:rPr>
        <w:t xml:space="preserve">How This Helps: </w:t>
      </w:r>
      <w:r>
        <w:rPr>
          <w:i/>
        </w:rPr>
        <w:t>Recruiting qualified Indian SaaS buyers, product managers, or enterprise decision-makers takes specific network knowledge — and most agencies and product teams burn 4–6 weeks trying to do it themselves before resorting to expensive recruiter platforms. Targeted recruitment through community networks delivers verified respondents faster and at a fraction of the cost.</w:t>
      </w:r>
    </w:p>
    <w:p>
      <w:pPr>
        <w:pStyle w:val="Heading4"/>
      </w:pPr>
      <w:r>
        <w:t>3. Interview Moderation or Survey Field Management</w:t>
      </w:r>
    </w:p>
    <w:p>
      <w:pPr>
        <w:pStyle w:val="ListBullet"/>
      </w:pPr>
      <w:r>
        <w:t>Moderate 1:1 user interviews (30–60 minutes each) — following the discussion guide while probing into context, decision drivers, and underlying motivations</w:t>
      </w:r>
    </w:p>
    <w:p>
      <w:pPr>
        <w:pStyle w:val="ListBullet"/>
      </w:pPr>
      <w:r>
        <w:t>Record sessions (with consent) using Zoom, Loom, or Lookback for product team review</w:t>
      </w:r>
    </w:p>
    <w:p>
      <w:pPr>
        <w:pStyle w:val="ListBullet"/>
      </w:pPr>
      <w:r>
        <w:t>Manage the survey field period: monitor response rates, send reminder communication, and triage data quality issues in real time</w:t>
      </w:r>
    </w:p>
    <w:p>
      <w:pPr>
        <w:pStyle w:val="ListBullet"/>
      </w:pPr>
      <w:r>
        <w:t>Provide daily field updates to the client — recruitment progress, emerging themes from initial interviews, and any adjustments to approach</w:t>
      </w:r>
    </w:p>
    <w:p>
      <w:pPr>
        <w:spacing w:before="80" w:after="280"/>
      </w:pPr>
      <w:r>
        <w:rPr>
          <w:b/>
          <w:i/>
        </w:rPr>
        <w:t xml:space="preserve">How This Helps: </w:t>
      </w:r>
      <w:r>
        <w:rPr>
          <w:i/>
        </w:rPr>
        <w:t>Good interview moderation is a craft. Asking 'why?' three more times than feels comfortable, recognising when a respondent is performing versus reflecting, and steering past hypothetical answers to actual behaviour are skills product teams rarely have in-house. Skilled moderation is what produces interview transcripts that change product roadmaps.</w:t>
      </w:r>
    </w:p>
    <w:p>
      <w:pPr>
        <w:pStyle w:val="Heading4"/>
      </w:pPr>
      <w:r>
        <w:t>4. Analysis &amp; Synthesis</w:t>
      </w:r>
    </w:p>
    <w:p>
      <w:pPr>
        <w:pStyle w:val="ListBullet"/>
      </w:pPr>
      <w:r>
        <w:t>For qualitative interviews: transcribe, code, and synthesise findings around the research questions — using a structured analysis framework (jobs to be done, Kano model, journey maps, or research-question-specific themes)</w:t>
      </w:r>
    </w:p>
    <w:p>
      <w:pPr>
        <w:pStyle w:val="ListBullet"/>
      </w:pPr>
      <w:r>
        <w:t>For survey data: clean the dataset, run descriptive and segmentation analysis, and produce findings tables and charts</w:t>
      </w:r>
    </w:p>
    <w:p>
      <w:pPr>
        <w:pStyle w:val="ListBullet"/>
      </w:pPr>
      <w:r>
        <w:t>Identify the 5–8 key insights that directly answer the research question — supported by evidence and quotes</w:t>
      </w:r>
    </w:p>
    <w:p>
      <w:pPr>
        <w:pStyle w:val="ListBullet"/>
      </w:pPr>
      <w:r>
        <w:t>Identify counter-evidence and dissent — what does NOT support the team's hypothesis is often more valuable than what confirms it</w:t>
      </w:r>
    </w:p>
    <w:p>
      <w:pPr>
        <w:pStyle w:val="ListBullet"/>
      </w:pPr>
      <w:r>
        <w:t>Quantify findings where possible: '8 out of 12 respondents said X', not 'most respondents said X'</w:t>
      </w:r>
    </w:p>
    <w:p>
      <w:pPr>
        <w:spacing w:before="80" w:after="280"/>
      </w:pPr>
      <w:r>
        <w:rPr>
          <w:b/>
          <w:i/>
        </w:rPr>
        <w:t xml:space="preserve">How This Helps: </w:t>
      </w:r>
      <w:r>
        <w:rPr>
          <w:i/>
        </w:rPr>
        <w:t>Most user research reports are 80% description and 20% insight — when product teams need the reverse. Insight is the synthesis the product team cannot do themselves because they are too close to the product. A research deliverable that leads with the 5–8 things the team did not know is the only kind of deliverable that drives action.</w:t>
      </w:r>
    </w:p>
    <w:p>
      <w:pPr>
        <w:pStyle w:val="Heading4"/>
      </w:pPr>
      <w:r>
        <w:t>5. Research Deliverables &amp; Presentation</w:t>
      </w:r>
    </w:p>
    <w:p>
      <w:pPr>
        <w:pStyle w:val="ListBullet"/>
      </w:pPr>
      <w:r>
        <w:t>Deliver a research report (15–25 pages) with executive summary, methodology, findings, insights, and recommendations</w:t>
      </w:r>
    </w:p>
    <w:p>
      <w:pPr>
        <w:pStyle w:val="ListBullet"/>
      </w:pPr>
      <w:r>
        <w:t>Produce a research presentation deck (15–25 slides) that the research lead can present internally to product, design, and leadership teams</w:t>
      </w:r>
    </w:p>
    <w:p>
      <w:pPr>
        <w:pStyle w:val="ListBullet"/>
      </w:pPr>
      <w:r>
        <w:t>Provide raw outputs: cleaned data files, anonymised transcripts, recordings (where consented), and codebooks</w:t>
      </w:r>
    </w:p>
    <w:p>
      <w:pPr>
        <w:pStyle w:val="ListBullet"/>
      </w:pPr>
      <w:r>
        <w:t>Run a 60-minute findings presentation and Q&amp;A with the client team if requested</w:t>
      </w:r>
    </w:p>
    <w:p>
      <w:pPr>
        <w:spacing w:before="80" w:after="280"/>
      </w:pPr>
      <w:r>
        <w:rPr>
          <w:b/>
          <w:i/>
        </w:rPr>
        <w:t xml:space="preserve">How This Helps: </w:t>
      </w:r>
      <w:r>
        <w:rPr>
          <w:i/>
        </w:rPr>
        <w:t>Research is only valuable if it gets used. A deliverable that includes both a written report (for reference) and a presentation deck (for socialisation) ensures the findings reach the people who actually make product and market decisions — not just the person who commissioned the research.</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Product team makes assumptions about Indian users with no actual user input — features launch and don't get adopted</w:t>
            </w:r>
          </w:p>
        </w:tc>
        <w:tc>
          <w:tcPr>
            <w:tcW w:type="dxa" w:w="4320"/>
          </w:tcPr>
          <w:p>
            <w:r>
              <w:t>Product decisions backed by interviews with 20–40 verified Indian users — feature prioritisation reflects real needs</w:t>
            </w:r>
          </w:p>
        </w:tc>
      </w:tr>
      <w:tr>
        <w:tc>
          <w:tcPr>
            <w:tcW w:type="dxa" w:w="4320"/>
          </w:tcPr>
          <w:p>
            <w:r>
              <w:t>Market research agency cannot field studies in India without a local partner — loses pitches to agencies that can</w:t>
            </w:r>
          </w:p>
        </w:tc>
        <w:tc>
          <w:tcPr>
            <w:tcW w:type="dxa" w:w="4320"/>
          </w:tcPr>
          <w:p>
            <w:r>
              <w:t>Reliable Indian field capacity available on demand — agency wins pitches that require India coverage</w:t>
            </w:r>
          </w:p>
        </w:tc>
      </w:tr>
      <w:tr>
        <w:tc>
          <w:tcPr>
            <w:tcW w:type="dxa" w:w="4320"/>
          </w:tcPr>
          <w:p>
            <w:r>
              <w:t>Respondent recruitment via paid panels delivers low-quality respondents who fail to match the target profile</w:t>
            </w:r>
          </w:p>
        </w:tc>
        <w:tc>
          <w:tcPr>
            <w:tcW w:type="dxa" w:w="4320"/>
          </w:tcPr>
          <w:p>
            <w:r>
              <w:t>Network-based recruitment delivers respondents who actually match the target — research findings are credible</w:t>
            </w:r>
          </w:p>
        </w:tc>
      </w:tr>
      <w:tr>
        <w:tc>
          <w:tcPr>
            <w:tcW w:type="dxa" w:w="4320"/>
          </w:tcPr>
          <w:p>
            <w:r>
              <w:t>Interview transcripts sit unprocessed for weeks — by the time analysis is done, the product team has moved on</w:t>
            </w:r>
          </w:p>
        </w:tc>
        <w:tc>
          <w:tcPr>
            <w:tcW w:type="dxa" w:w="4320"/>
          </w:tcPr>
          <w:p>
            <w:r>
              <w:t>Findings synthesised within 1 week of interview completion — insights reach the team while decisions are still open</w:t>
            </w:r>
          </w:p>
        </w:tc>
      </w:tr>
      <w:tr>
        <w:tc>
          <w:tcPr>
            <w:tcW w:type="dxa" w:w="4320"/>
          </w:tcPr>
          <w:p>
            <w:r>
              <w:t>Research report is descriptive but offers no actionable insight — product team thanks the agency and shelves the work</w:t>
            </w:r>
          </w:p>
        </w:tc>
        <w:tc>
          <w:tcPr>
            <w:tcW w:type="dxa" w:w="4320"/>
          </w:tcPr>
          <w:p>
            <w:r>
              <w:t>Report leads with 5–8 actionable insights — product roadmap or market entry strategy adjusts based on findings</w:t>
            </w:r>
          </w:p>
        </w:tc>
      </w:tr>
      <w:tr>
        <w:tc>
          <w:tcPr>
            <w:tcW w:type="dxa" w:w="4320"/>
          </w:tcPr>
          <w:p>
            <w:r>
              <w:t>Indian market entry decisions made on third-party reports and conference panel hearsay</w:t>
            </w:r>
          </w:p>
        </w:tc>
        <w:tc>
          <w:tcPr>
            <w:tcW w:type="dxa" w:w="4320"/>
          </w:tcPr>
          <w:p>
            <w:r>
              <w:t>Indian market entry decisions backed by primary data from the actual buyer segment the company plans to serve</w:t>
            </w:r>
          </w:p>
        </w:tc>
      </w:tr>
    </w:tbl>
    <w:p/>
    <w:p>
      <w:pPr>
        <w:pStyle w:val="Heading3"/>
      </w:pPr>
      <w:r>
        <w:t>WHO YOU SERVE</w:t>
      </w:r>
    </w:p>
    <w:p>
      <w:r>
        <w:t>Product managers, user research leads, and market research directors at B2B SaaS companies (US, UK, Australia headquartered, expanding into Indian markets) and at boutique market research agencies (US, UK, Singapore) that serve clients with Indian market exposure. They need primary Indian user data — for product validation, persona research, market sizing, or willingness-to-pay studies — but they have no in-house capacity to recruit, interview, and analyse Indian respondents at quality. They are willing to pay between USD 2,000 and USD 8,000 per study for a turnkey research deliverable that lands in the hands of their product, design, or strategy team.</w:t>
      </w:r>
    </w:p>
    <w:p>
      <w:pPr>
        <w:pStyle w:val="Heading3"/>
      </w:pPr>
      <w:r>
        <w:t>THE GUARANTEE</w:t>
      </w:r>
    </w:p>
    <w:p>
      <w:r>
        <w:rPr>
          <w:b/>
        </w:rPr>
        <w:t>If your research deliverable is not in your hands within the agreed timeline (typically 3 weeks for 20–40 interviews or 100–200 survey responses), the next round is included at no extra cost.</w:t>
      </w:r>
    </w:p>
    <w:p>
      <w:r>
        <w:br w:type="page"/>
      </w:r>
    </w:p>
    <w:p>
      <w:pPr>
        <w:pStyle w:val="Heading1"/>
      </w:pPr>
      <w:r>
        <w:t>OFFER 5 — EDTECH COURSE CONTENT &amp; CURRICULUM DEVELOPMENT</w:t>
      </w:r>
    </w:p>
    <w:p>
      <w:pPr>
        <w:pStyle w:val="Heading2"/>
      </w:pPr>
      <w:r>
        <w:t>OFFER 5A — Course Content for B2C EdTech Startups, Online Course Creators, and Bootcamps (US, UK, Canada, Australia)</w:t>
      </w:r>
    </w:p>
    <w:p>
      <w:pPr>
        <w:spacing w:before="120" w:after="280"/>
      </w:pPr>
      <w:r>
        <w:rPr>
          <w:b/>
          <w:i/>
          <w:sz w:val="23"/>
        </w:rPr>
        <w:t>"I Help EdTech Startups, Online Course Creators, and Bootcamps Build Complete Course Curricula, Lesson Scripts, and Assessment Materials That Their Subject Matter Experts Are Too Busy to Write — So You Launch New Courses on Schedule, Serve More Learners, and Grow Revenue Without Hiring a Full-Time Instructional Designer"</w:t>
      </w:r>
    </w:p>
    <w:p>
      <w:pPr>
        <w:pStyle w:val="Heading3"/>
      </w:pPr>
      <w:r>
        <w:t>WHAT YOU WILL DELIVER</w:t>
      </w:r>
    </w:p>
    <w:p>
      <w:pPr>
        <w:pStyle w:val="Heading4"/>
      </w:pPr>
      <w:r>
        <w:t>1. Full Course Curriculum Design</w:t>
      </w:r>
    </w:p>
    <w:p>
      <w:pPr>
        <w:pStyle w:val="ListBullet"/>
      </w:pPr>
      <w:r>
        <w:t>Work with the company's subject matter expert or product team to clarify learning objectives, target learner profile, course duration, and revenue model</w:t>
      </w:r>
    </w:p>
    <w:p>
      <w:pPr>
        <w:pStyle w:val="ListBullet"/>
      </w:pPr>
      <w:r>
        <w:t>Design a complete course outline: modules, sub-topics, learning objectives per module, and recommended sequencing — applying instructional design principles (Bloom's taxonomy, scaffolding, ARCS model)</w:t>
      </w:r>
    </w:p>
    <w:p>
      <w:pPr>
        <w:pStyle w:val="ListBullet"/>
      </w:pPr>
      <w:r>
        <w:t>Specify the instructional approach for each module: video lecture, reading, case study, quiz, practical exercise, peer discussion, or capstone project</w:t>
      </w:r>
    </w:p>
    <w:p>
      <w:pPr>
        <w:pStyle w:val="ListBullet"/>
      </w:pPr>
      <w:r>
        <w:t>Write a pedagogical rationale for the curriculum structure — explaining why the course is organised as it is and how it achieves the stated learning outcomes</w:t>
      </w:r>
    </w:p>
    <w:p>
      <w:pPr>
        <w:pStyle w:val="ListBullet"/>
      </w:pPr>
      <w:r>
        <w:t>Ensure the curriculum meets the standards expected by major hosting platforms (Coursera, Udemy, Teachable, Kajabi, Maven, or proprietary LMS)</w:t>
      </w:r>
    </w:p>
    <w:p>
      <w:pPr>
        <w:spacing w:before="80" w:after="280"/>
      </w:pPr>
      <w:r>
        <w:rPr>
          <w:b/>
          <w:i/>
        </w:rPr>
        <w:t xml:space="preserve">How This Helps: </w:t>
      </w:r>
      <w:r>
        <w:rPr>
          <w:i/>
        </w:rPr>
        <w:t>Most EdTech founders are domain experts or technologists — not curriculum designers. The result is courses with excellent content but poor learning structure: topics out of sequence, missing prerequisite knowledge, no clear progression, and learner confusion. A well-designed curriculum is the difference between a course completed by 60% of learners and a course completed by 25% — and completion directly drives reviews, referrals, and repeat purchase.</w:t>
      </w:r>
    </w:p>
    <w:p>
      <w:pPr>
        <w:pStyle w:val="Heading4"/>
      </w:pPr>
      <w:r>
        <w:t>2. Lesson Scripts &amp; Video Production Materials</w:t>
      </w:r>
    </w:p>
    <w:p>
      <w:pPr>
        <w:pStyle w:val="ListBullet"/>
      </w:pPr>
      <w:r>
        <w:t>Write complete lesson scripts for video lectures: structured in introduction, core teaching, worked example, and key takeaway format — written in clear, conversational language the presenter can read naturally on camera</w:t>
      </w:r>
    </w:p>
    <w:p>
      <w:pPr>
        <w:pStyle w:val="ListBullet"/>
      </w:pPr>
      <w:r>
        <w:t>Create slide decks for each lesson: clean, professional, visually organised — one key idea per slide, designed for screen recording or Loom-style delivery</w:t>
      </w:r>
    </w:p>
    <w:p>
      <w:pPr>
        <w:pStyle w:val="ListBullet"/>
      </w:pPr>
      <w:r>
        <w:t>Write video shot lists and B-roll specifications for production teams</w:t>
      </w:r>
    </w:p>
    <w:p>
      <w:pPr>
        <w:pStyle w:val="ListBullet"/>
      </w:pPr>
      <w:r>
        <w:t>Provide closed-caption transcripts and lesson summaries for accessibility and SEO</w:t>
      </w:r>
    </w:p>
    <w:p>
      <w:pPr>
        <w:spacing w:before="80" w:after="280"/>
      </w:pPr>
      <w:r>
        <w:rPr>
          <w:b/>
          <w:i/>
        </w:rPr>
        <w:t xml:space="preserve">How This Helps: </w:t>
      </w:r>
      <w:r>
        <w:rPr>
          <w:i/>
        </w:rPr>
        <w:t>Content creation is the biggest bottleneck in course production. Subject matter experts know their topic but struggle to translate knowledge into structured, learnable formats. When you deliver lesson scripts in production-ready form, recording is faster, the final course is more consistent, and the learning experience is dramatically better.</w:t>
      </w:r>
    </w:p>
    <w:p>
      <w:pPr>
        <w:pStyle w:val="Heading4"/>
      </w:pPr>
      <w:r>
        <w:t>3. Assessments, Quizzes &amp; Practical Exercises</w:t>
      </w:r>
    </w:p>
    <w:p>
      <w:pPr>
        <w:pStyle w:val="ListBullet"/>
      </w:pPr>
      <w:r>
        <w:t>Design quizzes and assessments: multiple choice, short answer, and scenario-based questions that test conceptual understanding, not just recall</w:t>
      </w:r>
    </w:p>
    <w:p>
      <w:pPr>
        <w:pStyle w:val="ListBullet"/>
      </w:pPr>
      <w:r>
        <w:t>Write case studies for applied learning: real or realistic scenarios that require learners to apply lesson content — with structured analysis questions and model answers</w:t>
      </w:r>
    </w:p>
    <w:p>
      <w:pPr>
        <w:pStyle w:val="ListBullet"/>
      </w:pPr>
      <w:r>
        <w:t>Design hands-on projects, exercises, or capstone deliverables learners complete to demonstrate competence</w:t>
      </w:r>
    </w:p>
    <w:p>
      <w:pPr>
        <w:pStyle w:val="ListBullet"/>
      </w:pPr>
      <w:r>
        <w:t>Develop instructor rubrics for grading subjective assessments (peer review, capstone evaluation)</w:t>
      </w:r>
    </w:p>
    <w:p>
      <w:pPr>
        <w:pStyle w:val="ListBullet"/>
      </w:pPr>
      <w:r>
        <w:t>Write quiz feedback for every option (correct and incorrect) — so learners learn from every question, not just from the ones they get right</w:t>
      </w:r>
    </w:p>
    <w:p>
      <w:pPr>
        <w:spacing w:before="80" w:after="280"/>
      </w:pPr>
      <w:r>
        <w:rPr>
          <w:b/>
          <w:i/>
        </w:rPr>
        <w:t xml:space="preserve">How This Helps: </w:t>
      </w:r>
      <w:r>
        <w:rPr>
          <w:i/>
        </w:rPr>
        <w:t>Assessments are where learning consolidates. Courses with well-designed assessments outperform on completion rates, learner satisfaction, and outcome credibility. Most online courses bolt on weak multiple-choice quizzes as an afterthought — courses that treat assessment as core curriculum design deliver dramatically better learner outcomes and certification value.</w:t>
      </w:r>
    </w:p>
    <w:p>
      <w:pPr>
        <w:pStyle w:val="Heading4"/>
      </w:pPr>
      <w:r>
        <w:t>4. Study Guides, Workbooks &amp; Supplementary Materials</w:t>
      </w:r>
    </w:p>
    <w:p>
      <w:pPr>
        <w:pStyle w:val="ListBullet"/>
      </w:pPr>
      <w:r>
        <w:t>Create study guides for each module: key concepts, definitions, worked examples, and revision notes</w:t>
      </w:r>
    </w:p>
    <w:p>
      <w:pPr>
        <w:pStyle w:val="ListBullet"/>
      </w:pPr>
      <w:r>
        <w:t>Build downloadable workbooks, templates, and resource libraries learners can use during and after the course</w:t>
      </w:r>
    </w:p>
    <w:p>
      <w:pPr>
        <w:pStyle w:val="ListBullet"/>
      </w:pPr>
      <w:r>
        <w:t>Develop reading lists and curated external resources to extend learning</w:t>
      </w:r>
    </w:p>
    <w:p>
      <w:pPr>
        <w:pStyle w:val="ListBullet"/>
      </w:pPr>
      <w:r>
        <w:t>Prepare instructor-facing facilitation guides for cohort-based or live-delivery courses</w:t>
      </w:r>
    </w:p>
    <w:p>
      <w:pPr>
        <w:spacing w:before="80" w:after="280"/>
      </w:pPr>
      <w:r>
        <w:rPr>
          <w:b/>
          <w:i/>
        </w:rPr>
        <w:t xml:space="preserve">How This Helps: </w:t>
      </w:r>
      <w:r>
        <w:rPr>
          <w:i/>
        </w:rPr>
        <w:t>Supplementary materials are how courses transition from 'content I watched' to 'knowledge I can use'. The best courses sell on the strength of the workbooks, templates, and downloadable tools learners walk away with — these are the artefacts learners refer back to long after the videos are forgotten.</w:t>
      </w:r>
    </w:p>
    <w:p>
      <w:pPr>
        <w:pStyle w:val="Heading4"/>
      </w:pPr>
      <w:r>
        <w:t>5. Content Repurposing &amp; Launch Marketing Assets</w:t>
      </w:r>
    </w:p>
    <w:p>
      <w:pPr>
        <w:pStyle w:val="ListBullet"/>
      </w:pPr>
      <w:r>
        <w:t>Repurpose course content into platform-native marketing formats: YouTube Shorts, Instagram Reels, LinkedIn carousels, X/Twitter threads</w:t>
      </w:r>
    </w:p>
    <w:p>
      <w:pPr>
        <w:pStyle w:val="ListBullet"/>
      </w:pPr>
      <w:r>
        <w:t>Write the course landing page copy: hook, problem framing, curriculum overview, instructor bio, social proof, FAQ, and call to action</w:t>
      </w:r>
    </w:p>
    <w:p>
      <w:pPr>
        <w:pStyle w:val="ListBullet"/>
      </w:pPr>
      <w:r>
        <w:t>Develop the course launch email sequence (5–8 emails) for the company's existing list</w:t>
      </w:r>
    </w:p>
    <w:p>
      <w:pPr>
        <w:pStyle w:val="ListBullet"/>
      </w:pPr>
      <w:r>
        <w:t>Write a 1,500–2,500-word SEO blog post per major course topic — driving organic traffic to the course page</w:t>
      </w:r>
    </w:p>
    <w:p>
      <w:pPr>
        <w:pStyle w:val="ListBullet"/>
      </w:pPr>
      <w:r>
        <w:t>Develop case study assets from beta learners' results — the social proof that converts undecided buyers</w:t>
      </w:r>
    </w:p>
    <w:p>
      <w:pPr>
        <w:spacing w:before="80" w:after="280"/>
      </w:pPr>
      <w:r>
        <w:rPr>
          <w:b/>
          <w:i/>
        </w:rPr>
        <w:t xml:space="preserve">How This Helps: </w:t>
      </w:r>
      <w:r>
        <w:rPr>
          <w:i/>
        </w:rPr>
        <w:t>EdTech companies produce content and then wonder why nobody finds them. The answer is distribution — and most of their best content never gets distributed. A single 30-minute lesson contains material for a week of social content, an SEO blog post, and 3–5 short videos. Systematic repurposing multiplies content reach without additional recording — and is how EdTech companies build audiences before spending on paid ads.</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Course launched but learner completion stalls at 25–30% — refund requests rise, reviews tank, referrals dry up</w:t>
            </w:r>
          </w:p>
        </w:tc>
        <w:tc>
          <w:tcPr>
            <w:tcW w:type="dxa" w:w="4320"/>
          </w:tcPr>
          <w:p>
            <w:r>
              <w:t>Curriculum designed for scaffolded learning — completion rates lift to 55–65%, reviews improve, referrals compound</w:t>
            </w:r>
          </w:p>
        </w:tc>
      </w:tr>
      <w:tr>
        <w:tc>
          <w:tcPr>
            <w:tcW w:type="dxa" w:w="4320"/>
          </w:tcPr>
          <w:p>
            <w:r>
              <w:t>Subject matter expert spends weekends writing lesson scripts that take 4x longer than recording — launch slips by 3 months</w:t>
            </w:r>
          </w:p>
        </w:tc>
        <w:tc>
          <w:tcPr>
            <w:tcW w:type="dxa" w:w="4320"/>
          </w:tcPr>
          <w:p>
            <w:r>
              <w:t>Lesson scripts delivered in production-ready form — expert records on schedule and the launch ships on time</w:t>
            </w:r>
          </w:p>
        </w:tc>
      </w:tr>
      <w:tr>
        <w:tc>
          <w:tcPr>
            <w:tcW w:type="dxa" w:w="4320"/>
          </w:tcPr>
          <w:p>
            <w:r>
              <w:t>Course assessments are weak multiple-choice quizzes that don't test real understanding</w:t>
            </w:r>
          </w:p>
        </w:tc>
        <w:tc>
          <w:tcPr>
            <w:tcW w:type="dxa" w:w="4320"/>
          </w:tcPr>
          <w:p>
            <w:r>
              <w:t>Assessments designed around conceptual application and scenario-based reasoning — learners and employers see real outcomes</w:t>
            </w:r>
          </w:p>
        </w:tc>
      </w:tr>
      <w:tr>
        <w:tc>
          <w:tcPr>
            <w:tcW w:type="dxa" w:w="4320"/>
          </w:tcPr>
          <w:p>
            <w:r>
              <w:t>Course content sits unmarketed — paid ads are the only way to drive enrolment</w:t>
            </w:r>
          </w:p>
        </w:tc>
        <w:tc>
          <w:tcPr>
            <w:tcW w:type="dxa" w:w="4320"/>
          </w:tcPr>
          <w:p>
            <w:r>
              <w:t>Course content systematically repurposed across social and SEO channels — organic enrolment grows month over month</w:t>
            </w:r>
          </w:p>
        </w:tc>
      </w:tr>
      <w:tr>
        <w:tc>
          <w:tcPr>
            <w:tcW w:type="dxa" w:w="4320"/>
          </w:tcPr>
          <w:p>
            <w:r>
              <w:t>Workbooks and templates promised in the marketing copy but never produced — refund-triggering complaint</w:t>
            </w:r>
          </w:p>
        </w:tc>
        <w:tc>
          <w:tcPr>
            <w:tcW w:type="dxa" w:w="4320"/>
          </w:tcPr>
          <w:p>
            <w:r>
              <w:t>Workbooks and templates delivered alongside every module — increase perceived value and learner outcome</w:t>
            </w:r>
          </w:p>
        </w:tc>
      </w:tr>
      <w:tr>
        <w:tc>
          <w:tcPr>
            <w:tcW w:type="dxa" w:w="4320"/>
          </w:tcPr>
          <w:p>
            <w:r>
              <w:t>Each new course built from scratch with no consistency in structure or quality across the catalogue</w:t>
            </w:r>
          </w:p>
        </w:tc>
        <w:tc>
          <w:tcPr>
            <w:tcW w:type="dxa" w:w="4320"/>
          </w:tcPr>
          <w:p>
            <w:r>
              <w:t>Curriculum design system established — every new course follows the same proven structure with predictable launch quality</w:t>
            </w:r>
          </w:p>
        </w:tc>
      </w:tr>
    </w:tbl>
    <w:p/>
    <w:p>
      <w:pPr>
        <w:pStyle w:val="Heading3"/>
      </w:pPr>
      <w:r>
        <w:t>WHO YOU SERVE</w:t>
      </w:r>
    </w:p>
    <w:p>
      <w:r>
        <w:t>Founders and content leads at B2C EdTech startups, online course creator businesses, and coding/upskilling bootcamps based in the US, UK, Canada, or Australia. They are building courses delivered via Coursera, Udemy, Teachable, Kajabi, Maven, or proprietary platforms. Their teams typically include the founder (subject matter expert), a small product/tech team, and a marketer — but no dedicated instructional designer or curriculum writer. They need someone who can take rough course concepts, founder Loom recordings, or expert outlines and deliver production-ready curriculum, lesson scripts, assessments, and launch assets.</w:t>
      </w:r>
    </w:p>
    <w:p>
      <w:pPr>
        <w:pStyle w:val="Heading3"/>
      </w:pPr>
      <w:r>
        <w:t>THE GUARANTEE</w:t>
      </w:r>
    </w:p>
    <w:p>
      <w:r>
        <w:rPr>
          <w:b/>
        </w:rPr>
        <w:t>If your course content is not delivered to the agreed scope and schedule, I complete the remaining work at no additional cost.</w:t>
      </w:r>
    </w:p>
    <w:p>
      <w:r>
        <w:br w:type="page"/>
      </w:r>
    </w:p>
    <w:p>
      <w:pPr>
        <w:pStyle w:val="Heading2"/>
      </w:pPr>
      <w:r>
        <w:t>OFFER 5B — Corporate L&amp;D and Enterprise Training Content for Internal Learning Teams (US, UK, Canada, Australia)</w:t>
      </w:r>
    </w:p>
    <w:p>
      <w:pPr>
        <w:spacing w:before="120" w:after="280"/>
      </w:pPr>
      <w:r>
        <w:rPr>
          <w:b/>
          <w:i/>
          <w:sz w:val="23"/>
        </w:rPr>
        <w:t>"I Help Corporate L&amp;D Teams Build Compliance Training, Onboarding Programmes, Manager Development Modules, and Sales Enablement Curricula That Their Subject Matter Experts Don't Have Time to Write — So Your Training Calendar Stays Full Without Hiring a Full-Time Instructional Designer"</w:t>
      </w:r>
    </w:p>
    <w:p>
      <w:pPr>
        <w:pStyle w:val="Heading3"/>
      </w:pPr>
      <w:r>
        <w:t>WHAT YOU WILL DELIVER</w:t>
      </w:r>
    </w:p>
    <w:p>
      <w:pPr>
        <w:pStyle w:val="Heading4"/>
      </w:pPr>
      <w:r>
        <w:t>1. Compliance &amp; Regulatory Training Modules</w:t>
      </w:r>
    </w:p>
    <w:p>
      <w:pPr>
        <w:pStyle w:val="ListBullet"/>
      </w:pPr>
      <w:r>
        <w:t>Develop compliance training curricula for the regulatory regimes the organisation must meet — GDPR, HIPAA, SOX, anti-bribery, anti-harassment, data privacy, information security, code of conduct</w:t>
      </w:r>
    </w:p>
    <w:p>
      <w:pPr>
        <w:pStyle w:val="ListBullet"/>
      </w:pPr>
      <w:r>
        <w:t>Write scenario-based learning content that takes employees through realistic situations and decision points — not just policy recitation</w:t>
      </w:r>
    </w:p>
    <w:p>
      <w:pPr>
        <w:pStyle w:val="ListBullet"/>
      </w:pPr>
      <w:r>
        <w:t>Design knowledge checks and certification assessments that meet auditor expectations and track completion at the individual level</w:t>
      </w:r>
    </w:p>
    <w:p>
      <w:pPr>
        <w:pStyle w:val="ListBullet"/>
      </w:pPr>
      <w:r>
        <w:t>Format content for the organisation's LMS (Cornerstone, Workday Learning, SAP SuccessFactors, Docebo, 360Learning) and ensure SCORM/xAPI compliance where required</w:t>
      </w:r>
    </w:p>
    <w:p>
      <w:pPr>
        <w:pStyle w:val="ListBullet"/>
      </w:pPr>
      <w:r>
        <w:t>Prepare manager dashboards and audit-ready reports demonstrating workforce completion</w:t>
      </w:r>
    </w:p>
    <w:p>
      <w:pPr>
        <w:spacing w:before="80" w:after="280"/>
      </w:pPr>
      <w:r>
        <w:rPr>
          <w:b/>
          <w:i/>
        </w:rPr>
        <w:t xml:space="preserve">How This Helps: </w:t>
      </w:r>
      <w:r>
        <w:rPr>
          <w:i/>
        </w:rPr>
        <w:t>Compliance training is non-negotiable — and the cost of failed audits or regulatory action far exceeds the cost of well-built training. Yet most organisations recycle the same generic compliance content year after year, leading to disengagement, low retention, and audit findings. Scenario-based compliance content that engages employees while satisfying regulators is what L&amp;D teams need but rarely have bandwidth to build internally.</w:t>
      </w:r>
    </w:p>
    <w:p>
      <w:pPr>
        <w:pStyle w:val="Heading4"/>
      </w:pPr>
      <w:r>
        <w:t>2. New Hire Onboarding &amp; Role-Specific Training Paths</w:t>
      </w:r>
    </w:p>
    <w:p>
      <w:pPr>
        <w:pStyle w:val="ListBullet"/>
      </w:pPr>
      <w:r>
        <w:t>Design structured 30/60/90-day onboarding programmes — combining company orientation, role-specific knowledge, tool training, and stakeholder introductions</w:t>
      </w:r>
    </w:p>
    <w:p>
      <w:pPr>
        <w:pStyle w:val="ListBullet"/>
      </w:pPr>
      <w:r>
        <w:t>Develop role-specific learning paths for the organisation's largest hiring functions (sales, customer success, engineering, operations)</w:t>
      </w:r>
    </w:p>
    <w:p>
      <w:pPr>
        <w:pStyle w:val="ListBullet"/>
      </w:pPr>
      <w:r>
        <w:t>Write microlearning modules (5–10 minutes each) for just-in-time training at the moment of need</w:t>
      </w:r>
    </w:p>
    <w:p>
      <w:pPr>
        <w:pStyle w:val="ListBullet"/>
      </w:pPr>
      <w:r>
        <w:t>Build manager checklists and onboarding playbooks so people leaders can drive consistent onboarding without instructional design support</w:t>
      </w:r>
    </w:p>
    <w:p>
      <w:pPr>
        <w:pStyle w:val="ListBullet"/>
      </w:pPr>
      <w:r>
        <w:t>Develop new-hire assessment criteria and 30/60/90 review templates</w:t>
      </w:r>
    </w:p>
    <w:p>
      <w:pPr>
        <w:spacing w:before="80" w:after="280"/>
      </w:pPr>
      <w:r>
        <w:rPr>
          <w:b/>
          <w:i/>
        </w:rPr>
        <w:t xml:space="preserve">How This Helps: </w:t>
      </w:r>
      <w:r>
        <w:rPr>
          <w:i/>
        </w:rPr>
        <w:t>Onboarding is where employee experience either compounds or collapses. New hires who feel directed, supported, and informed in their first 90 days reach productivity 40% faster — and the cost of an early exit due to poor onboarding can exceed half the role's annual salary. Structured onboarding curricula are one of the highest-ROI investments L&amp;D can make.</w:t>
      </w:r>
    </w:p>
    <w:p>
      <w:pPr>
        <w:pStyle w:val="Heading4"/>
      </w:pPr>
      <w:r>
        <w:t>3. Manager Development &amp; Leadership Curricula</w:t>
      </w:r>
    </w:p>
    <w:p>
      <w:pPr>
        <w:pStyle w:val="ListBullet"/>
      </w:pPr>
      <w:r>
        <w:t>Design manager development programmes covering core skills: giving feedback, running 1:1s, performance management, hiring, coaching, conflict resolution, change management</w:t>
      </w:r>
    </w:p>
    <w:p>
      <w:pPr>
        <w:pStyle w:val="ListBullet"/>
      </w:pPr>
      <w:r>
        <w:t>Develop facilitator guides, participant workbooks, and follow-up reinforcement materials for instructor-led workshops</w:t>
      </w:r>
    </w:p>
    <w:p>
      <w:pPr>
        <w:pStyle w:val="ListBullet"/>
      </w:pPr>
      <w:r>
        <w:t>Build cohort-based learning experiences that combine self-paced content, live sessions, and peer learning</w:t>
      </w:r>
    </w:p>
    <w:p>
      <w:pPr>
        <w:pStyle w:val="ListBullet"/>
      </w:pPr>
      <w:r>
        <w:t>Write case studies based on real organisational situations (anonymised) that managers work through together</w:t>
      </w:r>
    </w:p>
    <w:p>
      <w:pPr>
        <w:pStyle w:val="ListBullet"/>
      </w:pPr>
      <w:r>
        <w:t>Develop assessment rubrics and 360-feedback instruments tied to manager development outcomes</w:t>
      </w:r>
    </w:p>
    <w:p>
      <w:pPr>
        <w:spacing w:before="80" w:after="280"/>
      </w:pPr>
      <w:r>
        <w:rPr>
          <w:b/>
          <w:i/>
        </w:rPr>
        <w:t xml:space="preserve">How This Helps: </w:t>
      </w:r>
      <w:r>
        <w:rPr>
          <w:i/>
        </w:rPr>
        <w:t>Manager quality is the single largest driver of employee engagement and retention. Yet most organisations promote managers without developing them — and rely on cheap, generic external training that does not change behaviour. Custom manager curricula built around the organisation's leadership competencies and real situations create measurably better managers and lower attrition.</w:t>
      </w:r>
    </w:p>
    <w:p>
      <w:pPr>
        <w:pStyle w:val="Heading4"/>
      </w:pPr>
      <w:r>
        <w:t>4. Sales Enablement &amp; Customer-Facing Training</w:t>
      </w:r>
    </w:p>
    <w:p>
      <w:pPr>
        <w:pStyle w:val="ListBullet"/>
      </w:pPr>
      <w:r>
        <w:t>Develop sales onboarding programmes covering product knowledge, ICP and persona training, discovery and qualification methodology, objection handling, and demo delivery</w:t>
      </w:r>
    </w:p>
    <w:p>
      <w:pPr>
        <w:pStyle w:val="ListBullet"/>
      </w:pPr>
      <w:r>
        <w:t>Build product training modules launched alongside new product releases — keeping the sales team current on positioning, pricing, and competitive differentiation</w:t>
      </w:r>
    </w:p>
    <w:p>
      <w:pPr>
        <w:pStyle w:val="ListBullet"/>
      </w:pPr>
      <w:r>
        <w:t>Write call playbooks, email sequences, and objection-handling guides reps reference during live customer interactions</w:t>
      </w:r>
    </w:p>
    <w:p>
      <w:pPr>
        <w:pStyle w:val="ListBullet"/>
      </w:pPr>
      <w:r>
        <w:t>Design role-play scenarios and certification programmes (recorded demos, mock calls) that confirm rep readiness before territory assignment</w:t>
      </w:r>
    </w:p>
    <w:p>
      <w:pPr>
        <w:pStyle w:val="ListBullet"/>
      </w:pPr>
      <w:r>
        <w:t>Develop customer success training: onboarding playbooks, QBR templates, escalation protocols, churn intervention frameworks</w:t>
      </w:r>
    </w:p>
    <w:p>
      <w:pPr>
        <w:spacing w:before="80" w:after="280"/>
      </w:pPr>
      <w:r>
        <w:rPr>
          <w:b/>
          <w:i/>
        </w:rPr>
        <w:t xml:space="preserve">How This Helps: </w:t>
      </w:r>
      <w:r>
        <w:rPr>
          <w:i/>
        </w:rPr>
        <w:t>Sales enablement is the L&amp;D function with the most direct revenue impact — and the function most under-served by traditional L&amp;D teams. Reps perform when they have practiced exactly what they will say. Custom enablement curricula built around the company's actual sales motion and product realities lift quota attainment and ramp time in ways generic training cannot.</w:t>
      </w:r>
    </w:p>
    <w:p>
      <w:pPr>
        <w:pStyle w:val="Heading4"/>
      </w:pPr>
      <w:r>
        <w:t>5. Microlearning &amp; Performance Support Tools</w:t>
      </w:r>
    </w:p>
    <w:p>
      <w:pPr>
        <w:pStyle w:val="ListBullet"/>
      </w:pPr>
      <w:r>
        <w:t>Develop microlearning libraries (3–7 minute videos and 1-page job aids) covering the most-asked questions across the organisation</w:t>
      </w:r>
    </w:p>
    <w:p>
      <w:pPr>
        <w:pStyle w:val="ListBullet"/>
      </w:pPr>
      <w:r>
        <w:t>Build performance support tools embedded in workflow (decision trees, checklists, quick-reference cards) that employees use at the moment of need</w:t>
      </w:r>
    </w:p>
    <w:p>
      <w:pPr>
        <w:pStyle w:val="ListBullet"/>
      </w:pPr>
      <w:r>
        <w:t>Design just-in-time learning experiences that surface relevant content based on the employee's role, tenure, and current project</w:t>
      </w:r>
    </w:p>
    <w:p>
      <w:pPr>
        <w:pStyle w:val="ListBullet"/>
      </w:pPr>
      <w:r>
        <w:t>Repackage existing long-form content into bite-sized formats for mobile and in-flow-of-work consumption</w:t>
      </w:r>
    </w:p>
    <w:p>
      <w:pPr>
        <w:spacing w:before="80" w:after="280"/>
      </w:pPr>
      <w:r>
        <w:rPr>
          <w:b/>
          <w:i/>
        </w:rPr>
        <w:t xml:space="preserve">How This Helps: </w:t>
      </w:r>
      <w:r>
        <w:rPr>
          <w:i/>
        </w:rPr>
        <w:t>Employees do not learn by sitting through 60-minute training videos when they need an answer in 60 seconds. Microlearning and performance support tools meet learners where the work actually happens — and produce measurable behaviour change that traditional course-based training rarely achieves.</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Compliance training recycled year-over-year — employees click through without engagement, audit findings emerge</w:t>
            </w:r>
          </w:p>
        </w:tc>
        <w:tc>
          <w:tcPr>
            <w:tcW w:type="dxa" w:w="4320"/>
          </w:tcPr>
          <w:p>
            <w:r>
              <w:t>Scenario-based compliance content engaging employees while meeting regulator expectations — audit results improve</w:t>
            </w:r>
          </w:p>
        </w:tc>
      </w:tr>
      <w:tr>
        <w:tc>
          <w:tcPr>
            <w:tcW w:type="dxa" w:w="4320"/>
          </w:tcPr>
          <w:p>
            <w:r>
              <w:t>New hires take 6 months to reach productivity because onboarding is ad hoc and manager-dependent</w:t>
            </w:r>
          </w:p>
        </w:tc>
        <w:tc>
          <w:tcPr>
            <w:tcW w:type="dxa" w:w="4320"/>
          </w:tcPr>
          <w:p>
            <w:r>
              <w:t>Structured 30/60/90 onboarding programmes — new hires reach productivity in 2–3 months</w:t>
            </w:r>
          </w:p>
        </w:tc>
      </w:tr>
      <w:tr>
        <w:tc>
          <w:tcPr>
            <w:tcW w:type="dxa" w:w="4320"/>
          </w:tcPr>
          <w:p>
            <w:r>
              <w:t>Managers promoted without development — engagement scores in their teams decline, attrition rises</w:t>
            </w:r>
          </w:p>
        </w:tc>
        <w:tc>
          <w:tcPr>
            <w:tcW w:type="dxa" w:w="4320"/>
          </w:tcPr>
          <w:p>
            <w:r>
              <w:t>Custom manager development curricula tied to company competencies — measurable improvement in manager effectiveness</w:t>
            </w:r>
          </w:p>
        </w:tc>
      </w:tr>
      <w:tr>
        <w:tc>
          <w:tcPr>
            <w:tcW w:type="dxa" w:w="4320"/>
          </w:tcPr>
          <w:p>
            <w:r>
              <w:t>Sales reps onboard for 5–6 months before hitting quota — slow ramp drains revenue</w:t>
            </w:r>
          </w:p>
        </w:tc>
        <w:tc>
          <w:tcPr>
            <w:tcW w:type="dxa" w:w="4320"/>
          </w:tcPr>
          <w:p>
            <w:r>
              <w:t>Sales enablement curriculum with role-play certifications — ramp time compressed and quota attainment lifts</w:t>
            </w:r>
          </w:p>
        </w:tc>
      </w:tr>
      <w:tr>
        <w:tc>
          <w:tcPr>
            <w:tcW w:type="dxa" w:w="4320"/>
          </w:tcPr>
          <w:p>
            <w:r>
              <w:t>L&amp;D team buys generic LinkedIn Learning licences nobody completes — budget wasted, training calendar empty</w:t>
            </w:r>
          </w:p>
        </w:tc>
        <w:tc>
          <w:tcPr>
            <w:tcW w:type="dxa" w:w="4320"/>
          </w:tcPr>
          <w:p>
            <w:r>
              <w:t>Custom curriculum tied to the organisation's real challenges — engagement and completion metrics rise sharply</w:t>
            </w:r>
          </w:p>
        </w:tc>
      </w:tr>
      <w:tr>
        <w:tc>
          <w:tcPr>
            <w:tcW w:type="dxa" w:w="4320"/>
          </w:tcPr>
          <w:p>
            <w:r>
              <w:t>Subject matter experts asked to write training content alongside their day jobs — content is late or never finishes</w:t>
            </w:r>
          </w:p>
        </w:tc>
        <w:tc>
          <w:tcPr>
            <w:tcW w:type="dxa" w:w="4320"/>
          </w:tcPr>
          <w:p>
            <w:r>
              <w:t>L&amp;D commissions production-ready training content from external curriculum writers — calendar delivered on schedule</w:t>
            </w:r>
          </w:p>
        </w:tc>
      </w:tr>
    </w:tbl>
    <w:p/>
    <w:p>
      <w:pPr>
        <w:pStyle w:val="Heading3"/>
      </w:pPr>
      <w:r>
        <w:t>WHO YOU SERVE</w:t>
      </w:r>
    </w:p>
    <w:p>
      <w:r>
        <w:t>L&amp;D directors, learning experience designers, and people development leads at mid-to-large enterprises (500–10,000+ employees) in the US, UK, Canada, and Australia. Their training calendars cover compliance, onboarding, manager development, sales enablement, and skills training — but they have limited internal instructional design capacity and find it faster to commission external curriculum writers than to wait for subject matter experts inside the organisation. They buy in fixed-scope packages (course development, module sets, programme builds) and return repeatedly to writers who deliver production-ready, LMS-compatible content on schedule.</w:t>
      </w:r>
    </w:p>
    <w:p>
      <w:pPr>
        <w:pStyle w:val="Heading3"/>
      </w:pPr>
      <w:r>
        <w:t>THE GUARANTEE</w:t>
      </w:r>
    </w:p>
    <w:p>
      <w:r>
        <w:rPr>
          <w:b/>
        </w:rPr>
        <w:t>If your training content is not delivered to the agreed scope and schedule, I complete the remaining work at no additional cost.</w:t>
      </w:r>
    </w:p>
    <w:p>
      <w:r>
        <w:br w:type="page"/>
      </w:r>
    </w:p>
    <w:p>
      <w:pPr>
        <w:pStyle w:val="Heading1"/>
      </w:pPr>
      <w:r>
        <w:t>OFFER 6 — WHITE PAPERS FOR B2B SAAS &amp; DEEP TECH COMPANIES</w:t>
      </w:r>
    </w:p>
    <w:p>
      <w:pPr>
        <w:pStyle w:val="Heading2"/>
      </w:pPr>
      <w:r>
        <w:t>OFFER 6A — White Papers, Research Reports &amp; Industry Studies for B2B SaaS Companies (US, UK, Canada, Australia)</w:t>
      </w:r>
    </w:p>
    <w:p>
      <w:pPr>
        <w:spacing w:before="120" w:after="280"/>
      </w:pPr>
      <w:r>
        <w:rPr>
          <w:b/>
          <w:i/>
          <w:sz w:val="23"/>
        </w:rPr>
        <w:t>"I Help B2B SaaS Marketing and Product Marketing Teams Turn Customer Data, Internal Research, and Subject Matter Expert Interviews Into Investor-Grade White Papers, Industry Reports, and Sales-Enabling Long-Form Content — So Your Team Stops Losing Enterprise Deals to "We Couldn't Evaluate the Technology" and Starts Converting Buyers Who Trust What They Read"</w:t>
      </w:r>
    </w:p>
    <w:p>
      <w:pPr>
        <w:pStyle w:val="Heading3"/>
      </w:pPr>
      <w:r>
        <w:t>WHAT YOU WILL DELIVER</w:t>
      </w:r>
    </w:p>
    <w:p>
      <w:pPr>
        <w:pStyle w:val="Heading4"/>
      </w:pPr>
      <w:r>
        <w:t>1. Technical &amp; Strategic White Papers</w:t>
      </w:r>
    </w:p>
    <w:p>
      <w:pPr>
        <w:pStyle w:val="ListBullet"/>
      </w:pPr>
      <w:r>
        <w:t>Interview internal subject matter experts (product, engineering, customer success leads) to deeply understand the technology, methodology, and business outcomes being documented</w:t>
      </w:r>
    </w:p>
    <w:p>
      <w:pPr>
        <w:pStyle w:val="ListBullet"/>
      </w:pPr>
      <w:r>
        <w:t>Write a white paper (3,000–6,000 words) explaining the topic to a target audience — typically a sophisticated B2B buyer such as a VP of Operations, Head of Data, CTO, or CFO</w:t>
      </w:r>
    </w:p>
    <w:p>
      <w:pPr>
        <w:pStyle w:val="ListBullet"/>
      </w:pPr>
      <w:r>
        <w:t>Structure the paper to be both rigorous and persuasive: the problem it addresses, the alternative solutions buyers have considered, the proposed approach, the evidence for its effectiveness, the implications for the buyer</w:t>
      </w:r>
    </w:p>
    <w:p>
      <w:pPr>
        <w:pStyle w:val="ListBullet"/>
      </w:pPr>
      <w:r>
        <w:t>Ensure all data, citations, customer references, and sources are accurate and complete</w:t>
      </w:r>
    </w:p>
    <w:p>
      <w:pPr>
        <w:pStyle w:val="ListBullet"/>
      </w:pPr>
      <w:r>
        <w:t>Design the narrative so technical content is accessible to a knowledgeable but non-specialist senior buyer</w:t>
      </w:r>
    </w:p>
    <w:p>
      <w:pPr>
        <w:spacing w:before="80" w:after="280"/>
      </w:pPr>
      <w:r>
        <w:rPr>
          <w:b/>
          <w:i/>
        </w:rPr>
        <w:t xml:space="preserve">How This Helps: </w:t>
      </w:r>
      <w:r>
        <w:rPr>
          <w:i/>
        </w:rPr>
        <w:t>White papers are one of the highest-ROI content formats in B2B SaaS. A well-written white paper is simultaneously a sales tool (it convinces buyers the technology works), an investor tool (it shows VCs the depth of the IP), a PR tool (journalists cite it), and a recruiting tool (it signals intellectual credibility). Most internally produced white papers fail at all four functions because they are written by engineers who do not enjoy long-form writing. Outsourced, professional white paper writing changes the company's market position.</w:t>
      </w:r>
    </w:p>
    <w:p>
      <w:pPr>
        <w:pStyle w:val="Heading4"/>
      </w:pPr>
      <w:r>
        <w:t>2. Industry Reports &amp; Original Research Studies</w:t>
      </w:r>
    </w:p>
    <w:p>
      <w:pPr>
        <w:pStyle w:val="ListBullet"/>
      </w:pPr>
      <w:r>
        <w:t>Design and execute primary research with the company's customer base, prospect list, or broader market — surveys, interviews, customer data analysis</w:t>
      </w:r>
    </w:p>
    <w:p>
      <w:pPr>
        <w:pStyle w:val="ListBullet"/>
      </w:pPr>
      <w:r>
        <w:t>Produce an annual industry report (15–40 pages) — the company's flagship thought leadership asset establishing it as the category authority</w:t>
      </w:r>
    </w:p>
    <w:p>
      <w:pPr>
        <w:pStyle w:val="ListBullet"/>
      </w:pPr>
      <w:r>
        <w:t>Develop the methodology, write the analysis, design the data visualisations, and write the executive summary</w:t>
      </w:r>
    </w:p>
    <w:p>
      <w:pPr>
        <w:pStyle w:val="ListBullet"/>
      </w:pPr>
      <w:r>
        <w:t>Structure findings around the 5–8 insights that matter most to the target buyer — and the 1–2 contrarian findings that drive press coverage</w:t>
      </w:r>
    </w:p>
    <w:p>
      <w:pPr>
        <w:pStyle w:val="ListBullet"/>
      </w:pPr>
      <w:r>
        <w:t>Produce a tiered content asset: full report (gated, lead generation), executive summary (ungated, top of funnel), and slide deck (sales enablement)</w:t>
      </w:r>
    </w:p>
    <w:p>
      <w:pPr>
        <w:spacing w:before="80" w:after="280"/>
      </w:pPr>
      <w:r>
        <w:rPr>
          <w:b/>
          <w:i/>
        </w:rPr>
        <w:t xml:space="preserve">How This Helps: </w:t>
      </w:r>
      <w:r>
        <w:rPr>
          <w:i/>
        </w:rPr>
        <w:t>Original research reports are how SaaS companies establish category leadership. They generate inbound leads, press coverage, conference speaking invitations, and analyst recognition — all from a single annual investment. The companies that own their category (Gartner, Forrester aside) are usually the ones that produce the definitive industry report each year. Most SaaS companies want to be that company but lack the in-house research and writing capacity to produce the report.</w:t>
      </w:r>
    </w:p>
    <w:p>
      <w:pPr>
        <w:pStyle w:val="Heading4"/>
      </w:pPr>
      <w:r>
        <w:t>3. Customer Case Studies &amp; Evidence-Based Sales Content</w:t>
      </w:r>
    </w:p>
    <w:p>
      <w:pPr>
        <w:pStyle w:val="ListBullet"/>
      </w:pPr>
      <w:r>
        <w:t>Interview the company's customers or project managers to gather evidence of the product's real-world performance and business impact</w:t>
      </w:r>
    </w:p>
    <w:p>
      <w:pPr>
        <w:pStyle w:val="ListBullet"/>
      </w:pPr>
      <w:r>
        <w:t>Write case studies in the format: customer challenge, solution implemented, results achieved — with specific, quantified outcomes</w:t>
      </w:r>
    </w:p>
    <w:p>
      <w:pPr>
        <w:pStyle w:val="ListBullet"/>
      </w:pPr>
      <w:r>
        <w:t>Develop ROI calculators, business case templates, and procurement-justification documents that buyer champions use to sell the purchase internally</w:t>
      </w:r>
    </w:p>
    <w:p>
      <w:pPr>
        <w:pStyle w:val="ListBullet"/>
      </w:pPr>
      <w:r>
        <w:t>Write comparison documents and competitive differentiation pieces for the sales team — without making unsubstantiated claims that violate fair-use marketing standards</w:t>
      </w:r>
    </w:p>
    <w:p>
      <w:pPr>
        <w:pStyle w:val="ListBullet"/>
      </w:pPr>
      <w:r>
        <w:t>Build a library of vertical-specific case study variations (e.g., the same product positioned for healthcare vs. financial services buyers)</w:t>
      </w:r>
    </w:p>
    <w:p>
      <w:pPr>
        <w:spacing w:before="80" w:after="280"/>
      </w:pPr>
      <w:r>
        <w:rPr>
          <w:b/>
          <w:i/>
        </w:rPr>
        <w:t xml:space="preserve">How This Helps: </w:t>
      </w:r>
      <w:r>
        <w:rPr>
          <w:i/>
        </w:rPr>
        <w:t>Enterprise SaaS buyers are risk-averse. They do not buy on marketing claims — they buy on evidence the product has worked in comparable situations for comparable organisations. A well-structured case study with specific, quantified results ('reduced processing time by 40% and eliminated 3 FTEs of manual reconciliation work') is more persuasive than any sales deck. When you produce credible, evidence-based content, sales cycles compress and deal sizes grow.</w:t>
      </w:r>
    </w:p>
    <w:p>
      <w:pPr>
        <w:pStyle w:val="Heading4"/>
      </w:pPr>
      <w:r>
        <w:t>4. Strategic Briefs &amp; Analyst-Ready Content</w:t>
      </w:r>
    </w:p>
    <w:p>
      <w:pPr>
        <w:pStyle w:val="ListBullet"/>
      </w:pPr>
      <w:r>
        <w:t>Write strategic briefs for analyst conversations (Gartner, Forrester, IDC) — positioning the company's category, differentiation, and proof points in the format analysts evaluate</w:t>
      </w:r>
    </w:p>
    <w:p>
      <w:pPr>
        <w:pStyle w:val="ListBullet"/>
      </w:pPr>
      <w:r>
        <w:t>Develop the company's category-defining narrative — the story it wants the market to internalise about why this category matters and why this company leads it</w:t>
      </w:r>
    </w:p>
    <w:p>
      <w:pPr>
        <w:pStyle w:val="ListBullet"/>
      </w:pPr>
      <w:r>
        <w:t>Prepare executive briefing documents for board meetings, investor updates, and strategic partnership conversations</w:t>
      </w:r>
    </w:p>
    <w:p>
      <w:pPr>
        <w:pStyle w:val="ListBullet"/>
      </w:pPr>
      <w:r>
        <w:t>Write the company's annual strategy memo — internal-facing but written to executive-quality standards</w:t>
      </w:r>
    </w:p>
    <w:p>
      <w:pPr>
        <w:spacing w:before="80" w:after="280"/>
      </w:pPr>
      <w:r>
        <w:rPr>
          <w:b/>
          <w:i/>
        </w:rPr>
        <w:t xml:space="preserve">How This Helps: </w:t>
      </w:r>
      <w:r>
        <w:rPr>
          <w:i/>
        </w:rPr>
        <w:t>Companies that define their category command pricing power, attract talent, and earn investor confidence that follower companies cannot match. Defining a category is a writing problem before it is a marketing problem — it requires articulating what the company believes about the market, the buyer, and the future, in language sharp enough to be quoted. Most companies never get this right because no one inside is given the time or the writing skill to do it.</w:t>
      </w:r>
    </w:p>
    <w:p>
      <w:pPr>
        <w:pStyle w:val="Heading4"/>
      </w:pPr>
      <w:r>
        <w:t>5. Long-Form Thought Leadership &amp; SEO Authority Content</w:t>
      </w:r>
    </w:p>
    <w:p>
      <w:pPr>
        <w:pStyle w:val="ListBullet"/>
      </w:pPr>
      <w:r>
        <w:t>Write long-form (2,500–5,000 word) thought leadership articles under the founder's, executive's, or product leader's byline — for the company blog, Substack, or LinkedIn</w:t>
      </w:r>
    </w:p>
    <w:p>
      <w:pPr>
        <w:pStyle w:val="ListBullet"/>
      </w:pPr>
      <w:r>
        <w:t>Build SEO authority articles targeting the high-intent search queries the company's buyers actually use — written to compete for the top organic ranking, not just to fill a content calendar</w:t>
      </w:r>
    </w:p>
    <w:p>
      <w:pPr>
        <w:pStyle w:val="ListBullet"/>
      </w:pPr>
      <w:r>
        <w:t>Repurpose long-form content into LinkedIn carousels, X/Twitter threads, podcast scripts, and conference talk outlines</w:t>
      </w:r>
    </w:p>
    <w:p>
      <w:pPr>
        <w:pStyle w:val="ListBullet"/>
      </w:pPr>
      <w:r>
        <w:t>Develop a content roadmap that compounds: each article references and reinforces previous articles, building topical authority</w:t>
      </w:r>
    </w:p>
    <w:p>
      <w:pPr>
        <w:spacing w:before="80" w:after="280"/>
      </w:pPr>
      <w:r>
        <w:rPr>
          <w:b/>
          <w:i/>
        </w:rPr>
        <w:t xml:space="preserve">How This Helps: </w:t>
      </w:r>
      <w:r>
        <w:rPr>
          <w:i/>
        </w:rPr>
        <w:t>B2B buyers research extensively before they ever talk to sales — and the companies whose content shows up in that research enter the sales conversation already trusted. Thought leadership and SEO authority content is how SaaS companies build that trust at scale. The ROI is slow but compounding: companies that invest consistently in long-form authority content build inbound pipelines that competitors cannot replicate.</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White papers written by engineers in their spare time — released months late, read like documentation, no impact on pipeline</w:t>
            </w:r>
          </w:p>
        </w:tc>
        <w:tc>
          <w:tcPr>
            <w:tcW w:type="dxa" w:w="4320"/>
          </w:tcPr>
          <w:p>
            <w:r>
              <w:t>Investor-grade white papers delivered on schedule — sales cites them in deals, PR earns coverage, analysts notice</w:t>
            </w:r>
          </w:p>
        </w:tc>
      </w:tr>
      <w:tr>
        <w:tc>
          <w:tcPr>
            <w:tcW w:type="dxa" w:w="4320"/>
          </w:tcPr>
          <w:p>
            <w:r>
              <w:t>Company has no original research output — competitors own the category-defining annual report</w:t>
            </w:r>
          </w:p>
        </w:tc>
        <w:tc>
          <w:tcPr>
            <w:tcW w:type="dxa" w:w="4320"/>
          </w:tcPr>
          <w:p>
            <w:r>
              <w:t>Company publishes its own annual industry report — earns press, analyst, and conference recognition</w:t>
            </w:r>
          </w:p>
        </w:tc>
      </w:tr>
      <w:tr>
        <w:tc>
          <w:tcPr>
            <w:tcW w:type="dxa" w:w="4320"/>
          </w:tcPr>
          <w:p>
            <w:r>
              <w:t>Case studies are 1-page testimonials with no quantified outcomes — buyers don't trust the marketing</w:t>
            </w:r>
          </w:p>
        </w:tc>
        <w:tc>
          <w:tcPr>
            <w:tcW w:type="dxa" w:w="4320"/>
          </w:tcPr>
          <w:p>
            <w:r>
              <w:t>Case studies built around verified business outcomes — buyers' procurement teams cite them in approval conversations</w:t>
            </w:r>
          </w:p>
        </w:tc>
      </w:tr>
      <w:tr>
        <w:tc>
          <w:tcPr>
            <w:tcW w:type="dxa" w:w="4320"/>
          </w:tcPr>
          <w:p>
            <w:r>
              <w:t>Founder writes occasional LinkedIn posts but the company has no consistent thought leadership presence</w:t>
            </w:r>
          </w:p>
        </w:tc>
        <w:tc>
          <w:tcPr>
            <w:tcW w:type="dxa" w:w="4320"/>
          </w:tcPr>
          <w:p>
            <w:r>
              <w:t>Steady cadence of long-form articles under leadership bylines — building inbound demand and category authority</w:t>
            </w:r>
          </w:p>
        </w:tc>
      </w:tr>
      <w:tr>
        <w:tc>
          <w:tcPr>
            <w:tcW w:type="dxa" w:w="4320"/>
          </w:tcPr>
          <w:p>
            <w:r>
              <w:t>Analyst conversations go badly because the company cannot articulate its category position clearly</w:t>
            </w:r>
          </w:p>
        </w:tc>
        <w:tc>
          <w:tcPr>
            <w:tcW w:type="dxa" w:w="4320"/>
          </w:tcPr>
          <w:p>
            <w:r>
              <w:t>Analyst briefing documents prepared in advance — company shows up to Gartner/Forrester sessions positioned and confident</w:t>
            </w:r>
          </w:p>
        </w:tc>
      </w:tr>
      <w:tr>
        <w:tc>
          <w:tcPr>
            <w:tcW w:type="dxa" w:w="4320"/>
          </w:tcPr>
          <w:p>
            <w:r>
              <w:t>Content strategy is 'publish a blog post a week' with no compounding effect</w:t>
            </w:r>
          </w:p>
        </w:tc>
        <w:tc>
          <w:tcPr>
            <w:tcW w:type="dxa" w:w="4320"/>
          </w:tcPr>
          <w:p>
            <w:r>
              <w:t>Content roadmap built around buyer research journeys — each asset reinforces the next and topical authority compounds</w:t>
            </w:r>
          </w:p>
        </w:tc>
      </w:tr>
    </w:tbl>
    <w:p/>
    <w:p>
      <w:pPr>
        <w:pStyle w:val="Heading3"/>
      </w:pPr>
      <w:r>
        <w:t>WHO YOU SERVE</w:t>
      </w:r>
    </w:p>
    <w:p>
      <w:r>
        <w:t>B2B SaaS marketing, product marketing, and content leaders at Series A–C companies (and growth-stage SaaS) headquartered in the US, UK, Canada, and Australia. Their products serve enterprise or upper-mid-market buyers where the purchase decision takes weeks to months and involves multiple stakeholders. They have strong founders and product teams but small content teams — often just one or two generalist content marketers who cannot also produce flagship long-form research. They engage external writers for white papers, annual industry reports, and high-stakes thought leadership at rates of USD 2,000–USD 8,000 per piece and ongoing retainers for executive ghostwriting and content programmes.</w:t>
      </w:r>
    </w:p>
    <w:p>
      <w:pPr>
        <w:pStyle w:val="Heading3"/>
      </w:pPr>
      <w:r>
        <w:t>THE GUARANTEE</w:t>
      </w:r>
    </w:p>
    <w:p>
      <w:r>
        <w:rPr>
          <w:b/>
        </w:rPr>
        <w:t>If your white paper or report is not delivered to the agreed scope and schedule, I complete the remaining work at no additional cost.</w:t>
      </w:r>
    </w:p>
    <w:p>
      <w:r>
        <w:br w:type="page"/>
      </w:r>
    </w:p>
    <w:p>
      <w:pPr>
        <w:pStyle w:val="Heading2"/>
      </w:pPr>
      <w:r>
        <w:t>OFFER 6B — Technical White Papers and Investor Documents for Deep Tech, Climate Tech, and Industrial R&amp;D Companies (US, UK, Germany, Israel)</w:t>
      </w:r>
    </w:p>
    <w:p>
      <w:pPr>
        <w:spacing w:before="120" w:after="280"/>
      </w:pPr>
      <w:r>
        <w:rPr>
          <w:b/>
          <w:i/>
          <w:sz w:val="23"/>
        </w:rPr>
        <w:t>"I Help Deep Tech Founders and R&amp;D Directors Turn Breakthrough Research, Pilot Results, and Technical Roadmaps Into Investor-Grade White Papers, Government Grant Documents, and Customer-Ready Technical Documentation — So Your Innovation Gets the Industry Recognition and Capital It Deserves Without Your Engineers Spending Weeks on Writing They Were Not Hired to Do"</w:t>
      </w:r>
    </w:p>
    <w:p>
      <w:pPr>
        <w:pStyle w:val="Heading3"/>
      </w:pPr>
      <w:r>
        <w:t>WHAT YOU WILL DELIVER</w:t>
      </w:r>
    </w:p>
    <w:p>
      <w:pPr>
        <w:pStyle w:val="Heading4"/>
      </w:pPr>
      <w:r>
        <w:t>1. Technical &amp; Scientific White Papers</w:t>
      </w:r>
    </w:p>
    <w:p>
      <w:pPr>
        <w:pStyle w:val="ListBullet"/>
      </w:pPr>
      <w:r>
        <w:t>Interview the R&amp;D team or review provided materials to deeply understand the technology, methodology, experimental data, and underlying scientific principles</w:t>
      </w:r>
    </w:p>
    <w:p>
      <w:pPr>
        <w:pStyle w:val="ListBullet"/>
      </w:pPr>
      <w:r>
        <w:t>Write a white paper (4,000–8,000 words) explaining the innovation to a target audience: technical peers, sophisticated investors, enterprise procurement teams, regulators, or policy stakeholders</w:t>
      </w:r>
    </w:p>
    <w:p>
      <w:pPr>
        <w:pStyle w:val="ListBullet"/>
      </w:pPr>
      <w:r>
        <w:t>Structure the paper to be both scientifically rigorous and strategically compelling: the problem state of the art, the methodological breakthrough, the empirical evidence, the path to commercial deployment</w:t>
      </w:r>
    </w:p>
    <w:p>
      <w:pPr>
        <w:pStyle w:val="ListBullet"/>
      </w:pPr>
      <w:r>
        <w:t>Ensure all citations are accurate and complete — peer-reviewed sources, patents, regulatory documents, standards bodies</w:t>
      </w:r>
    </w:p>
    <w:p>
      <w:pPr>
        <w:pStyle w:val="ListBullet"/>
      </w:pPr>
      <w:r>
        <w:t>Design the narrative so technically dense content remains accessible to a knowledgeable but non-specialist senior reader</w:t>
      </w:r>
    </w:p>
    <w:p>
      <w:pPr>
        <w:spacing w:before="80" w:after="280"/>
      </w:pPr>
      <w:r>
        <w:rPr>
          <w:b/>
          <w:i/>
        </w:rPr>
        <w:t xml:space="preserve">How This Helps: </w:t>
      </w:r>
      <w:r>
        <w:rPr>
          <w:i/>
        </w:rPr>
        <w:t>Deep tech companies live or die on technical credibility. A well-written white paper is a sales tool (it convinces enterprise buyers the technology works), an investor tool (it shows VCs the depth of the IP and the de-risking achieved), a regulatory tool (it positions the company for upcoming policy decisions), and a recruiting tool (top engineers want to work where the science is real). Internally produced deep tech white papers usually fail at all four because engineers default to internal-audience language. Professionally written white papers move the company's market position materially.</w:t>
      </w:r>
    </w:p>
    <w:p>
      <w:pPr>
        <w:pStyle w:val="Heading4"/>
      </w:pPr>
      <w:r>
        <w:t>2. Investor Documents — Pitch Decks, Technical Memos, and Due Diligence Packs</w:t>
      </w:r>
    </w:p>
    <w:p>
      <w:pPr>
        <w:pStyle w:val="ListBullet"/>
      </w:pPr>
      <w:r>
        <w:t>Write narrative sections of investor pitch decks — the technology story, market opportunity, competitive moat, and IP defensibility — that complement the founder's data slides</w:t>
      </w:r>
    </w:p>
    <w:p>
      <w:pPr>
        <w:pStyle w:val="ListBullet"/>
      </w:pPr>
      <w:r>
        <w:t>Write technical due diligence documents for sophisticated investors — answering the questions sophisticated technical investors ask about the underlying science, patent portfolio, scale-up risk, and development roadmap</w:t>
      </w:r>
    </w:p>
    <w:p>
      <w:pPr>
        <w:pStyle w:val="ListBullet"/>
      </w:pPr>
      <w:r>
        <w:t>Prepare quarterly investor update letters and board memos in the precise, evidence-based tone that builds long-term investor confidence</w:t>
      </w:r>
    </w:p>
    <w:p>
      <w:pPr>
        <w:pStyle w:val="ListBullet"/>
      </w:pPr>
      <w:r>
        <w:t>Develop the company's category-creation narrative — for technologies that do not fit existing market categories, articulating the category itself</w:t>
      </w:r>
    </w:p>
    <w:p>
      <w:pPr>
        <w:spacing w:before="80" w:after="280"/>
      </w:pPr>
      <w:r>
        <w:rPr>
          <w:b/>
          <w:i/>
        </w:rPr>
        <w:t xml:space="preserve">How This Helps: </w:t>
      </w:r>
      <w:r>
        <w:rPr>
          <w:i/>
        </w:rPr>
        <w:t>Deep tech companies raise capital based on technology credibility. Investors who cannot understand the technology will not invest — not because the technology is bad, but because it was not explained clearly. Founders who built the technology are often the worst people to explain it to non-specialists because they cannot see what an intelligent outsider does not yet understand. Translation between deep technical work and capital-allocator language is one of the highest-leverage activities in a deep tech company.</w:t>
      </w:r>
    </w:p>
    <w:p>
      <w:pPr>
        <w:pStyle w:val="Heading4"/>
      </w:pPr>
      <w:r>
        <w:t>3. Government Grant Documents &amp; Regulatory Submissions</w:t>
      </w:r>
    </w:p>
    <w:p>
      <w:pPr>
        <w:pStyle w:val="ListBullet"/>
      </w:pPr>
      <w:r>
        <w:t>Write progress reports for government grant programmes (US DOE ARPA-E, UK Innovate UK, EU Horizon, ARIA, BIRAC, DST, BARDA) — documenting milestones, fund utilisation, and next-phase plans in the format each agency requires</w:t>
      </w:r>
    </w:p>
    <w:p>
      <w:pPr>
        <w:pStyle w:val="ListBullet"/>
      </w:pPr>
      <w:r>
        <w:t>Prepare technical narratives for new grant applications (SBIR/STTR, EIC Accelerator, Horizon Europe) — making the case for novelty, feasibility, and commercial path</w:t>
      </w:r>
    </w:p>
    <w:p>
      <w:pPr>
        <w:pStyle w:val="ListBullet"/>
      </w:pPr>
      <w:r>
        <w:t>Write regulatory positioning documents — for technologies subject to emerging regulation (AI, biotech, advanced materials, energy storage)</w:t>
      </w:r>
    </w:p>
    <w:p>
      <w:pPr>
        <w:pStyle w:val="ListBullet"/>
      </w:pPr>
      <w:r>
        <w:t>Coordinate technical input from multiple R&amp;D contributors into a single coherent submission document</w:t>
      </w:r>
    </w:p>
    <w:p>
      <w:pPr>
        <w:spacing w:before="80" w:after="280"/>
      </w:pPr>
      <w:r>
        <w:rPr>
          <w:b/>
          <w:i/>
        </w:rPr>
        <w:t xml:space="preserve">How This Helps: </w:t>
      </w:r>
      <w:r>
        <w:rPr>
          <w:i/>
        </w:rPr>
        <w:t>Government grants are a major non-dilutive funding source for deep tech — and most companies leave significant funding on the table because grant writing is treated as an administrative chore. Well-written grant submissions and rigorous progress reports build the company's standing with funding agencies, leading to larger follow-on awards. The same is true for regulatory positioning: companies that shape regulation by participating in policy conversations end up with rules that favour their approach.</w:t>
      </w:r>
    </w:p>
    <w:p>
      <w:pPr>
        <w:pStyle w:val="Heading4"/>
      </w:pPr>
      <w:r>
        <w:t>4. Customer-Facing Technical Documentation &amp; Pilot Reports</w:t>
      </w:r>
    </w:p>
    <w:p>
      <w:pPr>
        <w:pStyle w:val="ListBullet"/>
      </w:pPr>
      <w:r>
        <w:t>Write technical documentation for enterprise customers — product specifications, integration guides, performance benchmarks, safety data sheets, and case studies</w:t>
      </w:r>
    </w:p>
    <w:p>
      <w:pPr>
        <w:pStyle w:val="ListBullet"/>
      </w:pPr>
      <w:r>
        <w:t>Document pilot deployments and proof-of-concept results in formal pilot reports — the artefacts enterprise procurement teams need to justify follow-on purchase decisions</w:t>
      </w:r>
    </w:p>
    <w:p>
      <w:pPr>
        <w:pStyle w:val="ListBullet"/>
      </w:pPr>
      <w:r>
        <w:t>Write technical sales-support content — competitive comparison documents, FAQ documents, and procurement-justification briefings</w:t>
      </w:r>
    </w:p>
    <w:p>
      <w:pPr>
        <w:pStyle w:val="ListBullet"/>
      </w:pPr>
      <w:r>
        <w:t>Develop sector-specific positioning content (e.g., the same technology positioned for utilities vs. data centres vs. industrial manufacturing)</w:t>
      </w:r>
    </w:p>
    <w:p>
      <w:pPr>
        <w:spacing w:before="80" w:after="280"/>
      </w:pPr>
      <w:r>
        <w:rPr>
          <w:b/>
          <w:i/>
        </w:rPr>
        <w:t xml:space="preserve">How This Helps: </w:t>
      </w:r>
      <w:r>
        <w:rPr>
          <w:i/>
        </w:rPr>
        <w:t>Deep tech enterprise sales cycles are 12–24 months long and involve multiple stakeholders — engineering, procurement, operations, finance, regulatory. Each stakeholder needs a different document to advocate for the purchase internally. Companies that arrive in these conversations with the right document for each stakeholder close deals competitors with weaker documentation lose.</w:t>
      </w:r>
    </w:p>
    <w:p>
      <w:pPr>
        <w:pStyle w:val="Heading4"/>
      </w:pPr>
      <w:r>
        <w:t>5. Industry Thought Leadership &amp; Scientific Communications</w:t>
      </w:r>
    </w:p>
    <w:p>
      <w:pPr>
        <w:pStyle w:val="ListBullet"/>
      </w:pPr>
      <w:r>
        <w:t>Write long-form thought leadership under the founder's or chief scientist's byline — establishing the company's voice in the scientific and industry conversation</w:t>
      </w:r>
    </w:p>
    <w:p>
      <w:pPr>
        <w:pStyle w:val="ListBullet"/>
      </w:pPr>
      <w:r>
        <w:t>Adapt peer-reviewed publications into accessible blog posts and LinkedIn articles that reach the broader industry audience</w:t>
      </w:r>
    </w:p>
    <w:p>
      <w:pPr>
        <w:pStyle w:val="ListBullet"/>
      </w:pPr>
      <w:r>
        <w:t>Develop conference presentation outlines and speaker abstracts for technical and industry conferences</w:t>
      </w:r>
    </w:p>
    <w:p>
      <w:pPr>
        <w:pStyle w:val="ListBullet"/>
      </w:pPr>
      <w:r>
        <w:t>Write op-eds and policy commentary for sector publications where industry positioning matters (e.g., Nature, MIT Technology Review, Politico, sector trade press)</w:t>
      </w:r>
    </w:p>
    <w:p>
      <w:pPr>
        <w:spacing w:before="80" w:after="280"/>
      </w:pPr>
      <w:r>
        <w:rPr>
          <w:b/>
          <w:i/>
        </w:rPr>
        <w:t xml:space="preserve">How This Helps: </w:t>
      </w:r>
      <w:r>
        <w:rPr>
          <w:i/>
        </w:rPr>
        <w:t>Deep tech companies build credibility through visible scientific leadership. A founder who publishes thoughtful, substantive content in the right venues builds the kind of reputation that attracts top talent, opens doors with strategic partners, and earns the trust of regulators and customers. This is not marketing — it is positioning. And it cannot be ghostwritten generically; it requires a writer who can think with the founder, not just for them.</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White paper sits unwritten for 9 months — investors ask for it during fundraising and the team scrambles</w:t>
            </w:r>
          </w:p>
        </w:tc>
        <w:tc>
          <w:tcPr>
            <w:tcW w:type="dxa" w:w="4320"/>
          </w:tcPr>
          <w:p>
            <w:r>
              <w:t>White paper produced ahead of fundraising — investors arrive at the conversation already convinced by the technology</w:t>
            </w:r>
          </w:p>
        </w:tc>
      </w:tr>
      <w:tr>
        <w:tc>
          <w:tcPr>
            <w:tcW w:type="dxa" w:w="4320"/>
          </w:tcPr>
          <w:p>
            <w:r>
              <w:t>Investor due diligence questions take weeks to answer because the technical narrative has never been written down</w:t>
            </w:r>
          </w:p>
        </w:tc>
        <w:tc>
          <w:tcPr>
            <w:tcW w:type="dxa" w:w="4320"/>
          </w:tcPr>
          <w:p>
            <w:r>
              <w:t>Due diligence documents prepared in advance — investor questions answered in days, deal momentum maintained</w:t>
            </w:r>
          </w:p>
        </w:tc>
      </w:tr>
      <w:tr>
        <w:tc>
          <w:tcPr>
            <w:tcW w:type="dxa" w:w="4320"/>
          </w:tcPr>
          <w:p>
            <w:r>
              <w:t>Government grant progress reports are late or thin — relationship with funding agency stalls</w:t>
            </w:r>
          </w:p>
        </w:tc>
        <w:tc>
          <w:tcPr>
            <w:tcW w:type="dxa" w:w="4320"/>
          </w:tcPr>
          <w:p>
            <w:r>
              <w:t>Grant reports submitted on time and with rigour — agency relationship strengthens, follow-on awards become available</w:t>
            </w:r>
          </w:p>
        </w:tc>
      </w:tr>
      <w:tr>
        <w:tc>
          <w:tcPr>
            <w:tcW w:type="dxa" w:w="4320"/>
          </w:tcPr>
          <w:p>
            <w:r>
              <w:t>Pilot deployment ends successfully but no formal pilot report is produced — customer never makes the follow-on purchase decision</w:t>
            </w:r>
          </w:p>
        </w:tc>
        <w:tc>
          <w:tcPr>
            <w:tcW w:type="dxa" w:w="4320"/>
          </w:tcPr>
          <w:p>
            <w:r>
              <w:t>Pilot reports delivered to customer procurement teams — internal champion has what they need to drive the purchase forward</w:t>
            </w:r>
          </w:p>
        </w:tc>
      </w:tr>
      <w:tr>
        <w:tc>
          <w:tcPr>
            <w:tcW w:type="dxa" w:w="4320"/>
          </w:tcPr>
          <w:p>
            <w:r>
              <w:t>Conference invitations and op-ed opportunities go unfulfilled because writing capacity does not exist internally</w:t>
            </w:r>
          </w:p>
        </w:tc>
        <w:tc>
          <w:tcPr>
            <w:tcW w:type="dxa" w:w="4320"/>
          </w:tcPr>
          <w:p>
            <w:r>
              <w:t>Steady cadence of substantive technical writing under leadership bylines — industry visibility compounds over 12–24 months</w:t>
            </w:r>
          </w:p>
        </w:tc>
      </w:tr>
      <w:tr>
        <w:tc>
          <w:tcPr>
            <w:tcW w:type="dxa" w:w="4320"/>
          </w:tcPr>
          <w:p>
            <w:r>
              <w:t>Engineers spend 30% of their time on writing they did not sign up for and are not good at</w:t>
            </w:r>
          </w:p>
        </w:tc>
        <w:tc>
          <w:tcPr>
            <w:tcW w:type="dxa" w:w="4320"/>
          </w:tcPr>
          <w:p>
            <w:r>
              <w:t>Engineers focus on the technology — external writers handle the documentation, white papers, and external communication</w:t>
            </w:r>
          </w:p>
        </w:tc>
      </w:tr>
    </w:tbl>
    <w:p/>
    <w:p>
      <w:pPr>
        <w:pStyle w:val="Heading3"/>
      </w:pPr>
      <w:r>
        <w:t>WHO YOU SERVE</w:t>
      </w:r>
    </w:p>
    <w:p>
      <w:r>
        <w:t>Founders, CTOs, and R&amp;D directors at deep tech startups (Series A–C) in AI infrastructure, climate tech, biotech, materials science, semiconductors, advanced manufacturing, robotics, and medical devices — headquartered in the US, UK, Germany, Switzerland, Israel, or Singapore. They have strong technical teams and have secured initial funding. They are under pressure to demonstrate progress to investors, win government grants, advance enterprise pilots, and build market presence — all of which require substantial writing that their engineering teams should not be doing. They engage external writers for white papers (USD 4,000–USD 12,000 per piece), grant programmes, and ongoing investor and customer documentation support.</w:t>
      </w:r>
    </w:p>
    <w:p>
      <w:pPr>
        <w:pStyle w:val="Heading3"/>
      </w:pPr>
      <w:r>
        <w:t>THE GUARANTEE</w:t>
      </w:r>
    </w:p>
    <w:p>
      <w:r>
        <w:rPr>
          <w:b/>
        </w:rPr>
        <w:t>If your white paper or technical document is not delivered to the agreed scope and schedule, I complete the remaining work at no additional cost.</w:t>
      </w:r>
    </w:p>
    <w:p>
      <w:r>
        <w:br w:type="page"/>
      </w:r>
    </w:p>
    <w:p>
      <w:pPr>
        <w:pStyle w:val="Heading1"/>
      </w:pPr>
      <w:r>
        <w:t>OFFER 7 — CLINICAL &amp; MEDICAL WRITING</w:t>
      </w:r>
    </w:p>
    <w:p>
      <w:pPr>
        <w:pStyle w:val="Heading2"/>
      </w:pPr>
      <w:r>
        <w:t>OFFER 7A — Clinical Research Manuscripts, CME Materials, and Medical Communications for US &amp; UK Biotech, CROs, and Medical Affairs Teams</w:t>
      </w:r>
    </w:p>
    <w:p>
      <w:pPr>
        <w:spacing w:before="120" w:after="280"/>
      </w:pPr>
      <w:r>
        <w:rPr>
          <w:b/>
          <w:i/>
          <w:sz w:val="23"/>
        </w:rPr>
        <w:t>"I Help Medical Affairs Teams, Biotech Founders, and CRO Project Managers Prepare Publication-Ready Manuscripts, Medical Education Materials, and Clinical Communications — So Your Clinical Evidence Reaches Journals, Healthcare Professionals, and Payers Without the Internal Bottleneck That Delays Every Submission"</w:t>
      </w:r>
    </w:p>
    <w:p>
      <w:pPr>
        <w:pStyle w:val="Heading3"/>
      </w:pPr>
      <w:r>
        <w:t>WHAT YOU WILL DELIVER</w:t>
      </w:r>
    </w:p>
    <w:p>
      <w:pPr>
        <w:pStyle w:val="Heading4"/>
      </w:pPr>
      <w:r>
        <w:t>1. Clinical Research Manuscripts</w:t>
      </w:r>
    </w:p>
    <w:p>
      <w:pPr>
        <w:pStyle w:val="ListBullet"/>
      </w:pPr>
      <w:r>
        <w:t>Write original research manuscripts for submission to peer-reviewed medical journals: Introduction, Methods, Results, Discussion (IMRAD format) — based on clinical trial data, observational study data, real-world evidence, or systematic review findings</w:t>
      </w:r>
    </w:p>
    <w:p>
      <w:pPr>
        <w:pStyle w:val="ListBullet"/>
      </w:pPr>
      <w:r>
        <w:t>Format manuscripts to the specific requirements of the target journal (NEJM, Lancet, BMJ, JAMA, specialty journals): word count, reference style (Vancouver, AMA), figure specifications, author declarations</w:t>
      </w:r>
    </w:p>
    <w:p>
      <w:pPr>
        <w:pStyle w:val="ListBullet"/>
      </w:pPr>
      <w:r>
        <w:t>Ensure compliance with ICMJE authorship and reporting standards, and with applicable reporting guidelines (CONSORT for RCTs, PRISMA for systematic reviews, STROBE for observational studies, CARE for case reports)</w:t>
      </w:r>
    </w:p>
    <w:p>
      <w:pPr>
        <w:pStyle w:val="ListBullet"/>
      </w:pPr>
      <w:r>
        <w:t>Prepare response-to-reviewer documents for revise-and-resubmit decisions — converting reviewer feedback into accepted publications</w:t>
      </w:r>
    </w:p>
    <w:p>
      <w:pPr>
        <w:pStyle w:val="ListBullet"/>
      </w:pPr>
      <w:r>
        <w:t>Manage co-author coordination: collect feedback, reconcile competing comments, and maintain manuscript version control</w:t>
      </w:r>
    </w:p>
    <w:p>
      <w:pPr>
        <w:spacing w:before="80" w:after="280"/>
      </w:pPr>
      <w:r>
        <w:rPr>
          <w:b/>
          <w:i/>
        </w:rPr>
        <w:t xml:space="preserve">How This Helps: </w:t>
      </w:r>
      <w:r>
        <w:rPr>
          <w:i/>
        </w:rPr>
        <w:t>The bottleneck between conducting clinical research and publishing it is almost always the writing, not the science. Manuscripts that sit unwritten represent sunk research costs, delayed competitive positioning, and missed citations. When you deliver a submission-ready first draft, the team's research investment finally reaches its audience — and the publication unlocks downstream value (KOL relationships, conference presentations, payer evidence dossiers).</w:t>
      </w:r>
    </w:p>
    <w:p>
      <w:pPr>
        <w:pStyle w:val="Heading4"/>
      </w:pPr>
      <w:r>
        <w:t>2. Medical Education (CME) &amp; Healthcare Professional Communications</w:t>
      </w:r>
    </w:p>
    <w:p>
      <w:pPr>
        <w:pStyle w:val="ListBullet"/>
      </w:pPr>
      <w:r>
        <w:t>Write CME slide decks, monographs, and educational summaries for healthcare professionals — accredited or non-accredited as the client requires</w:t>
      </w:r>
    </w:p>
    <w:p>
      <w:pPr>
        <w:pStyle w:val="ListBullet"/>
      </w:pPr>
      <w:r>
        <w:t>Develop disease awareness content for healthcare professional audiences — positioning the company's therapeutic area without violating fair-balance promotional rules</w:t>
      </w:r>
    </w:p>
    <w:p>
      <w:pPr>
        <w:pStyle w:val="ListBullet"/>
      </w:pPr>
      <w:r>
        <w:t>Write standard response documents to medical inquiries — accurate, balanced, evidence-based responses medical affairs teams use to answer HCP questions about the company's products</w:t>
      </w:r>
    </w:p>
    <w:p>
      <w:pPr>
        <w:pStyle w:val="ListBullet"/>
      </w:pPr>
      <w:r>
        <w:t>Create scientific congress materials: poster content, oral presentation outlines, and key message documents for conference activity</w:t>
      </w:r>
    </w:p>
    <w:p>
      <w:pPr>
        <w:pStyle w:val="ListBullet"/>
      </w:pPr>
      <w:r>
        <w:t>Write satellite symposium content, advisory board summaries, and KOL engagement materials</w:t>
      </w:r>
    </w:p>
    <w:p>
      <w:pPr>
        <w:spacing w:before="80" w:after="280"/>
      </w:pPr>
      <w:r>
        <w:rPr>
          <w:b/>
          <w:i/>
        </w:rPr>
        <w:t xml:space="preserve">How This Helps: </w:t>
      </w:r>
      <w:r>
        <w:rPr>
          <w:i/>
        </w:rPr>
        <w:t>Medical education content is how pharmaceutical and biotech companies legally build awareness of their therapies among healthcare professionals. CME materials position the company's evidence within the broader scientific landscape and ensure prescribers understand how to use a therapy correctly. When this content is accurate, clear, and appropriately balanced, it builds professional credibility and supports responsible prescribing.</w:t>
      </w:r>
    </w:p>
    <w:p>
      <w:pPr>
        <w:pStyle w:val="Heading4"/>
      </w:pPr>
      <w:r>
        <w:t>3. Patient Education &amp; Plain-Language Health Communications</w:t>
      </w:r>
    </w:p>
    <w:p>
      <w:pPr>
        <w:pStyle w:val="ListBullet"/>
      </w:pPr>
      <w:r>
        <w:t>Develop patient education materials — brochures, factsheets, treatment guides, and digital content — written in plain language accessible to patients without medical training</w:t>
      </w:r>
    </w:p>
    <w:p>
      <w:pPr>
        <w:pStyle w:val="ListBullet"/>
      </w:pPr>
      <w:r>
        <w:t>Write informed consent documents and patient information leaflets that meet readability and regulatory requirements</w:t>
      </w:r>
    </w:p>
    <w:p>
      <w:pPr>
        <w:pStyle w:val="ListBullet"/>
      </w:pPr>
      <w:r>
        <w:t>Develop adherence support content — explaining why a treatment regimen matters, what to expect, and how to manage common side effects</w:t>
      </w:r>
    </w:p>
    <w:p>
      <w:pPr>
        <w:pStyle w:val="ListBullet"/>
      </w:pPr>
      <w:r>
        <w:t>Create caregiver-focused materials for chronic conditions where caregivers play a major role in care delivery</w:t>
      </w:r>
    </w:p>
    <w:p>
      <w:pPr>
        <w:spacing w:before="80" w:after="280"/>
      </w:pPr>
      <w:r>
        <w:rPr>
          <w:b/>
          <w:i/>
        </w:rPr>
        <w:t xml:space="preserve">How This Helps: </w:t>
      </w:r>
      <w:r>
        <w:rPr>
          <w:i/>
        </w:rPr>
        <w:t>Well-written patient materials directly improve treatment adherence — which directly affects real-world outcomes and the therapy's market success. Patients who understand their condition and treatment are more likely to take medications as prescribed, follow up with their providers, and report side effects appropriately. This is not marketing; it is the difference between a therapy that works in trials and a therapy that works in the real world.</w:t>
      </w:r>
    </w:p>
    <w:p>
      <w:pPr>
        <w:pStyle w:val="Heading4"/>
      </w:pPr>
      <w:r>
        <w:t>4. Real-World Evidence (RWE) &amp; HEOR Documentation</w:t>
      </w:r>
    </w:p>
    <w:p>
      <w:pPr>
        <w:pStyle w:val="ListBullet"/>
      </w:pPr>
      <w:r>
        <w:t>Write real-world evidence studies and observational research manuscripts — increasingly required by payers and regulators alongside RCT evidence</w:t>
      </w:r>
    </w:p>
    <w:p>
      <w:pPr>
        <w:pStyle w:val="ListBullet"/>
      </w:pPr>
      <w:r>
        <w:t>Develop health economic and outcomes research (HEOR) documents: budget impact models, cost-effectiveness narratives, and value dossiers for payer submissions</w:t>
      </w:r>
    </w:p>
    <w:p>
      <w:pPr>
        <w:pStyle w:val="ListBullet"/>
      </w:pPr>
      <w:r>
        <w:t>Prepare Academy of Managed Care Pharmacy (AMCP) dossiers and analogous payer-facing documents in the format payers expect</w:t>
      </w:r>
    </w:p>
    <w:p>
      <w:pPr>
        <w:pStyle w:val="ListBullet"/>
      </w:pPr>
      <w:r>
        <w:t>Document patient-reported outcomes (PRO) study findings and integrate them into broader value narratives</w:t>
      </w:r>
    </w:p>
    <w:p>
      <w:pPr>
        <w:spacing w:before="80" w:after="280"/>
      </w:pPr>
      <w:r>
        <w:rPr>
          <w:b/>
          <w:i/>
        </w:rPr>
        <w:t xml:space="preserve">How This Helps: </w:t>
      </w:r>
      <w:r>
        <w:rPr>
          <w:i/>
        </w:rPr>
        <w:t>Increasingly, regulators and payers want evidence beyond the controlled clinical trial — they want evidence the therapy works for the patients who will actually use it, at a cost that makes sense relative to alternatives. Real-world evidence and HEOR documentation are now central to drug commercialisation, and the writing required spans clinical, epidemiological, and health economic disciplines. Few in-house teams have all three skills; outsourced specialist writers are the standard solution.</w:t>
      </w:r>
    </w:p>
    <w:p>
      <w:pPr>
        <w:pStyle w:val="Heading4"/>
      </w:pPr>
      <w:r>
        <w:t>5. Conference Abstracts, Posters &amp; Scientific Presentations</w:t>
      </w:r>
    </w:p>
    <w:p>
      <w:pPr>
        <w:pStyle w:val="ListBullet"/>
      </w:pPr>
      <w:r>
        <w:t>Write conference abstracts for scientific congresses (ASCO, ASH, AHA, ESMO, EASL, AACR, and specialty meetings) — structured to maximise acceptance and oral selection</w:t>
      </w:r>
    </w:p>
    <w:p>
      <w:pPr>
        <w:pStyle w:val="ListBullet"/>
      </w:pPr>
      <w:r>
        <w:t>Develop full poster content — title, structured sections, data visualisations, and key takeaways formatted to the conference's specifications</w:t>
      </w:r>
    </w:p>
    <w:p>
      <w:pPr>
        <w:pStyle w:val="ListBullet"/>
      </w:pPr>
      <w:r>
        <w:t>Write oral presentation outlines and speaker notes for scientific congress presentations</w:t>
      </w:r>
    </w:p>
    <w:p>
      <w:pPr>
        <w:pStyle w:val="ListBullet"/>
      </w:pPr>
      <w:r>
        <w:t>Coordinate co-author review and conference submission deadlines</w:t>
      </w:r>
    </w:p>
    <w:p>
      <w:pPr>
        <w:spacing w:before="80" w:after="280"/>
      </w:pPr>
      <w:r>
        <w:rPr>
          <w:b/>
          <w:i/>
        </w:rPr>
        <w:t xml:space="preserve">How This Helps: </w:t>
      </w:r>
      <w:r>
        <w:rPr>
          <w:i/>
        </w:rPr>
        <w:t>Scientific congress presence is how clinical research enters the broader medical conversation. Abstracts and posters drive KOL relationships, journalist coverage, and downstream publication interest. Companies that submit consistently to the right meetings — with well-written abstracts that get selected — build the kind of medical community recognition that drives prescriber awareness and confidence.</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Clinical trial completes but the publication sits unwritten for 18 months — competitive positioning lost</w:t>
            </w:r>
          </w:p>
        </w:tc>
        <w:tc>
          <w:tcPr>
            <w:tcW w:type="dxa" w:w="4320"/>
          </w:tcPr>
          <w:p>
            <w:r>
              <w:t>Manuscript drafted within 8–12 weeks of database lock — submitted to target journal on schedule</w:t>
            </w:r>
          </w:p>
        </w:tc>
      </w:tr>
      <w:tr>
        <w:tc>
          <w:tcPr>
            <w:tcW w:type="dxa" w:w="4320"/>
          </w:tcPr>
          <w:p>
            <w:r>
              <w:t>Revise-and-resubmit decisions sit unaddressed for months because no one inside has time to write the response</w:t>
            </w:r>
          </w:p>
        </w:tc>
        <w:tc>
          <w:tcPr>
            <w:tcW w:type="dxa" w:w="4320"/>
          </w:tcPr>
          <w:p>
            <w:r>
              <w:t>Point-by-point response documents prepared in 1–2 weeks — revisions submitted promptly and accepted</w:t>
            </w:r>
          </w:p>
        </w:tc>
      </w:tr>
      <w:tr>
        <w:tc>
          <w:tcPr>
            <w:tcW w:type="dxa" w:w="4320"/>
          </w:tcPr>
          <w:p>
            <w:r>
              <w:t>Medical affairs team cannot answer HCP medical inquiries consistently — different reps give different responses</w:t>
            </w:r>
          </w:p>
        </w:tc>
        <w:tc>
          <w:tcPr>
            <w:tcW w:type="dxa" w:w="4320"/>
          </w:tcPr>
          <w:p>
            <w:r>
              <w:t>Standard response documents prepared for the most common inquiries — medical affairs team responds consistently and on-evidence</w:t>
            </w:r>
          </w:p>
        </w:tc>
      </w:tr>
      <w:tr>
        <w:tc>
          <w:tcPr>
            <w:tcW w:type="dxa" w:w="4320"/>
          </w:tcPr>
          <w:p>
            <w:r>
              <w:t>Conference abstract deadlines missed because the team cannot pull together a draft in time</w:t>
            </w:r>
          </w:p>
        </w:tc>
        <w:tc>
          <w:tcPr>
            <w:tcW w:type="dxa" w:w="4320"/>
          </w:tcPr>
          <w:p>
            <w:r>
              <w:t>Abstracts drafted to deadline — acceptance rates rise and the company's congress presence builds</w:t>
            </w:r>
          </w:p>
        </w:tc>
      </w:tr>
      <w:tr>
        <w:tc>
          <w:tcPr>
            <w:tcW w:type="dxa" w:w="4320"/>
          </w:tcPr>
          <w:p>
            <w:r>
              <w:t>Payer submissions delayed because HEOR and value dossier writing is bottlenecked by one in-house writer</w:t>
            </w:r>
          </w:p>
        </w:tc>
        <w:tc>
          <w:tcPr>
            <w:tcW w:type="dxa" w:w="4320"/>
          </w:tcPr>
          <w:p>
            <w:r>
              <w:t>HEOR documentation produced by specialist external writers — payer submissions stay on schedule</w:t>
            </w:r>
          </w:p>
        </w:tc>
      </w:tr>
      <w:tr>
        <w:tc>
          <w:tcPr>
            <w:tcW w:type="dxa" w:w="4320"/>
          </w:tcPr>
          <w:p>
            <w:r>
              <w:t>Patient materials written by lawyers and product teams — read as confusing or threatening to patients</w:t>
            </w:r>
          </w:p>
        </w:tc>
        <w:tc>
          <w:tcPr>
            <w:tcW w:type="dxa" w:w="4320"/>
          </w:tcPr>
          <w:p>
            <w:r>
              <w:t>Patient materials written in plain language tested for readability — treatment adherence and patient satisfaction improve</w:t>
            </w:r>
          </w:p>
        </w:tc>
      </w:tr>
    </w:tbl>
    <w:p/>
    <w:p>
      <w:pPr>
        <w:pStyle w:val="Heading3"/>
      </w:pPr>
      <w:r>
        <w:t>WHO YOU SERVE</w:t>
      </w:r>
    </w:p>
    <w:p>
      <w:r>
        <w:t>Medical affairs leads, clinical operations managers, publications managers, and founders at biotech and pharmaceutical companies, contract research organisations (CROs), and medical communications agencies in the US, UK, Switzerland, and Germany. Their work spans therapeutic areas including oncology, immunology, cardiovascular, metabolic, neurological, and rare disease — and includes companies at every stage from pre-IND to post-launch. They have rigorous quality standards (most engagements require writers with life sciences or medical backgrounds and familiarity with ICH/GxP environments) and they pay accordingly — manuscript writing typically USD 3,000–USD 8,000 per paper; HEOR and regulatory writing significantly higher.</w:t>
      </w:r>
    </w:p>
    <w:p>
      <w:pPr>
        <w:pStyle w:val="Heading3"/>
      </w:pPr>
      <w:r>
        <w:t>THE GUARANTEE</w:t>
      </w:r>
    </w:p>
    <w:p>
      <w:r>
        <w:rPr>
          <w:b/>
        </w:rPr>
        <w:t>If your medical document is not delivered to the agreed scope and schedule, I complete the remaining work at no additional cost.</w:t>
      </w:r>
    </w:p>
    <w:p>
      <w:r>
        <w:br w:type="page"/>
      </w:r>
    </w:p>
    <w:p>
      <w:pPr>
        <w:pStyle w:val="Heading2"/>
      </w:pPr>
      <w:r>
        <w:t>OFFER 7B — Regulatory Writing and Clinical Evaluation Reports for EU &amp; UK Medical Device Companies (under EU MDR / IVDR)</w:t>
      </w:r>
    </w:p>
    <w:p>
      <w:pPr>
        <w:spacing w:before="120" w:after="280"/>
      </w:pPr>
      <w:r>
        <w:rPr>
          <w:b/>
          <w:i/>
          <w:sz w:val="23"/>
        </w:rPr>
        <w:t>"I Help Medical Device Regulatory Affairs Teams Prepare Clinical Evaluation Reports, Performance Evaluation Reports, and Post-Market Surveillance Documents That Meet EU MDR / IVDR Requirements — So Your Device Keeps Its CE Mark and You Stop Burning Engineering Hours on Regulatory Writing"</w:t>
      </w:r>
    </w:p>
    <w:p>
      <w:pPr>
        <w:pStyle w:val="Heading3"/>
      </w:pPr>
      <w:r>
        <w:t>WHAT YOU WILL DELIVER</w:t>
      </w:r>
    </w:p>
    <w:p>
      <w:pPr>
        <w:pStyle w:val="Heading4"/>
      </w:pPr>
      <w:r>
        <w:t>1. Clinical Evaluation Reports (CER) under EU MDR</w:t>
      </w:r>
    </w:p>
    <w:p>
      <w:pPr>
        <w:pStyle w:val="ListBullet"/>
      </w:pPr>
      <w:r>
        <w:t>Conduct a structured literature search across PubMed, Embase, Cochrane, and clinical trial registries following PRISMA-aligned methodology — documented for notified body review</w:t>
      </w:r>
    </w:p>
    <w:p>
      <w:pPr>
        <w:pStyle w:val="ListBullet"/>
      </w:pPr>
      <w:r>
        <w:t>Develop the clinical evaluation plan (CEP) defining scope, equivalence claims (if applicable), and evaluation methodology</w:t>
      </w:r>
    </w:p>
    <w:p>
      <w:pPr>
        <w:pStyle w:val="ListBullet"/>
      </w:pPr>
      <w:r>
        <w:t>Critically appraise identified clinical evidence using a defined appraisal framework (e.g., GRADE) — documenting inclusion/exclusion decisions with full traceability</w:t>
      </w:r>
    </w:p>
    <w:p>
      <w:pPr>
        <w:pStyle w:val="ListBullet"/>
      </w:pPr>
      <w:r>
        <w:t>Write the full Clinical Evaluation Report following MEDDEV 2.7/1 Rev 4 structure and the requirements of MDR Annex XIV</w:t>
      </w:r>
    </w:p>
    <w:p>
      <w:pPr>
        <w:pStyle w:val="ListBullet"/>
      </w:pPr>
      <w:r>
        <w:t>Maintain the CER as a living document — supporting periodic updates as new evidence emerges or as the post-market surveillance system generates new data</w:t>
      </w:r>
    </w:p>
    <w:p>
      <w:pPr>
        <w:spacing w:before="80" w:after="280"/>
      </w:pPr>
      <w:r>
        <w:rPr>
          <w:b/>
          <w:i/>
        </w:rPr>
        <w:t xml:space="preserve">How This Helps: </w:t>
      </w:r>
      <w:r>
        <w:rPr>
          <w:i/>
        </w:rPr>
        <w:t>Under EU MDR, Clinical Evaluation Reports are no longer one-time documents — they are living evidence systems that must be updated systematically across the device's market life. Notified bodies have become substantially stricter on CER quality since MDR took effect, and inadequate CERs are now a leading cause of CE mark renewal delays. CER work requires regulatory-medical writing expertise that very few generalist writers can credibly deliver.</w:t>
      </w:r>
    </w:p>
    <w:p>
      <w:pPr>
        <w:pStyle w:val="Heading4"/>
      </w:pPr>
      <w:r>
        <w:t>2. Performance Evaluation Reports (PER) under IVDR</w:t>
      </w:r>
    </w:p>
    <w:p>
      <w:pPr>
        <w:pStyle w:val="ListBullet"/>
      </w:pPr>
      <w:r>
        <w:t>Develop the Performance Evaluation Plan (PEP) for IVD devices — covering scientific validity, analytical performance, and clinical performance</w:t>
      </w:r>
    </w:p>
    <w:p>
      <w:pPr>
        <w:pStyle w:val="ListBullet"/>
      </w:pPr>
      <w:r>
        <w:t>Conduct structured literature reviews supporting each pillar of performance evaluation</w:t>
      </w:r>
    </w:p>
    <w:p>
      <w:pPr>
        <w:pStyle w:val="ListBullet"/>
      </w:pPr>
      <w:r>
        <w:t>Document scientific validity through systematic review of available evidence</w:t>
      </w:r>
    </w:p>
    <w:p>
      <w:pPr>
        <w:pStyle w:val="ListBullet"/>
      </w:pPr>
      <w:r>
        <w:t>Write the Performance Evaluation Report following IVDR Annex XIII requirements</w:t>
      </w:r>
    </w:p>
    <w:p>
      <w:pPr>
        <w:pStyle w:val="ListBullet"/>
      </w:pPr>
      <w:r>
        <w:t>Maintain alignment between the PER and the device's post-market performance follow-up plan</w:t>
      </w:r>
    </w:p>
    <w:p>
      <w:pPr>
        <w:spacing w:before="80" w:after="280"/>
      </w:pPr>
      <w:r>
        <w:rPr>
          <w:b/>
          <w:i/>
        </w:rPr>
        <w:t xml:space="preserve">How This Helps: </w:t>
      </w:r>
      <w:r>
        <w:rPr>
          <w:i/>
        </w:rPr>
        <w:t>IVDR transition has been one of the most disruptive regulatory shifts in European medical devices in decades. IVD manufacturers that had previously self-declared compliance now require detailed clinical performance evidence — and the writing burden has overwhelmed in-house regulatory teams. Specialist external writers with IVDR fluency are one of the few practical responses available to companies trying to maintain market access.</w:t>
      </w:r>
    </w:p>
    <w:p>
      <w:pPr>
        <w:pStyle w:val="Heading4"/>
      </w:pPr>
      <w:r>
        <w:t>3. Post-Market Surveillance (PMS) &amp; PSUR Documentation</w:t>
      </w:r>
    </w:p>
    <w:p>
      <w:pPr>
        <w:pStyle w:val="ListBullet"/>
      </w:pPr>
      <w:r>
        <w:t>Develop the Post-Market Surveillance Plan (PMS Plan) — defining data sources, analysis methods, and reporting cadence per MDR Article 84</w:t>
      </w:r>
    </w:p>
    <w:p>
      <w:pPr>
        <w:pStyle w:val="ListBullet"/>
      </w:pPr>
      <w:r>
        <w:t>Write Post-Market Surveillance Reports (PMSR) for Class I devices and Periodic Safety Update Reports (PSUR) for Class IIa, IIb, and III devices — meeting the structure and content requirements of MDR Article 85/86</w:t>
      </w:r>
    </w:p>
    <w:p>
      <w:pPr>
        <w:pStyle w:val="ListBullet"/>
      </w:pPr>
      <w:r>
        <w:t>Synthesise post-market data (complaints, vigilance reports, scientific literature, registry data, social media intelligence) into the structured analysis required by MDR</w:t>
      </w:r>
    </w:p>
    <w:p>
      <w:pPr>
        <w:pStyle w:val="ListBullet"/>
      </w:pPr>
      <w:r>
        <w:t>Integrate PMS findings back into the CER, risk management file, and benefit-risk determination — closing the regulatory loop</w:t>
      </w:r>
    </w:p>
    <w:p>
      <w:pPr>
        <w:pStyle w:val="ListBullet"/>
      </w:pPr>
      <w:r>
        <w:t>Prepare PSUR submissions for upload to Eudamed once the relevant Eudamed modules go live</w:t>
      </w:r>
    </w:p>
    <w:p>
      <w:pPr>
        <w:spacing w:before="80" w:after="280"/>
      </w:pPr>
      <w:r>
        <w:rPr>
          <w:b/>
          <w:i/>
        </w:rPr>
        <w:t xml:space="preserve">How This Helps: </w:t>
      </w:r>
      <w:r>
        <w:rPr>
          <w:i/>
        </w:rPr>
        <w:t>Post-market surveillance is the most under-invested area of EU MDR compliance — most companies passed initial CE certification but have not built the systematic PMS processes MDR actually requires. Notified bodies are now demanding evidence of working PMS systems during surveillance audits, and companies without strong PMS documentation are losing certifications. Building these systems requires both technical understanding of the device and the regulatory writing skill to document everything traceably.</w:t>
      </w:r>
    </w:p>
    <w:p>
      <w:pPr>
        <w:pStyle w:val="Heading4"/>
      </w:pPr>
      <w:r>
        <w:t>4. Risk Management &amp; Summary of Safety and Clinical Performance (SSCP)</w:t>
      </w:r>
    </w:p>
    <w:p>
      <w:pPr>
        <w:pStyle w:val="ListBullet"/>
      </w:pPr>
      <w:r>
        <w:t>Update risk management files to MDR-aligned standards (ISO 14971:2019) — including post-market integration of new hazards and harm data</w:t>
      </w:r>
    </w:p>
    <w:p>
      <w:pPr>
        <w:pStyle w:val="ListBullet"/>
      </w:pPr>
      <w:r>
        <w:t>Write the Summary of Safety and Clinical Performance (SSCP) for Class III and implantable devices — the public-facing document that must be uploaded to Eudamed</w:t>
      </w:r>
    </w:p>
    <w:p>
      <w:pPr>
        <w:pStyle w:val="ListBullet"/>
      </w:pPr>
      <w:r>
        <w:t>Maintain the benefit-risk determination — the central regulatory conclusion that ties together all clinical, performance, and safety evidence</w:t>
      </w:r>
    </w:p>
    <w:p>
      <w:pPr>
        <w:pStyle w:val="ListBullet"/>
      </w:pPr>
      <w:r>
        <w:t>Prepare technical documentation summary documents for notified body review and conformity assessment</w:t>
      </w:r>
    </w:p>
    <w:p>
      <w:pPr>
        <w:spacing w:before="80" w:after="280"/>
      </w:pPr>
      <w:r>
        <w:rPr>
          <w:b/>
          <w:i/>
        </w:rPr>
        <w:t xml:space="preserve">How This Helps: </w:t>
      </w:r>
      <w:r>
        <w:rPr>
          <w:i/>
        </w:rPr>
        <w:t>MDR introduced the SSCP requirement — a public-facing technical document that did not exist under MDD. Writing it correctly requires balancing transparency obligations with competitive and confidential considerations, and most companies have struggled to produce SSCPs that satisfy both notified bodies and their own commercial concerns. External writers who specialise in MDR documentation produce SSCPs that meet both needs.</w:t>
      </w:r>
    </w:p>
    <w:p>
      <w:pPr>
        <w:pStyle w:val="Heading4"/>
      </w:pPr>
      <w:r>
        <w:t>5. Notified Body Audit Support &amp; Response Documents</w:t>
      </w:r>
    </w:p>
    <w:p>
      <w:pPr>
        <w:pStyle w:val="ListBullet"/>
      </w:pPr>
      <w:r>
        <w:t>Prepare audit response documents to notified body questions during conformity assessment and surveillance audits — addressing each finding with traceable evidence</w:t>
      </w:r>
    </w:p>
    <w:p>
      <w:pPr>
        <w:pStyle w:val="ListBullet"/>
      </w:pPr>
      <w:r>
        <w:t>Develop remediation plans for non-conformities — defining root cause, corrective action, and verification of effectiveness</w:t>
      </w:r>
    </w:p>
    <w:p>
      <w:pPr>
        <w:pStyle w:val="ListBullet"/>
      </w:pPr>
      <w:r>
        <w:t>Support technical documentation submissions for new device classifications, significant change notifications, and renewal submissions</w:t>
      </w:r>
    </w:p>
    <w:p>
      <w:pPr>
        <w:pStyle w:val="ListBullet"/>
      </w:pPr>
      <w:r>
        <w:t>Coordinate input from clinical, engineering, quality, and regulatory functions into single submission documents</w:t>
      </w:r>
    </w:p>
    <w:p>
      <w:pPr>
        <w:spacing w:before="80" w:after="280"/>
      </w:pPr>
      <w:r>
        <w:rPr>
          <w:b/>
          <w:i/>
        </w:rPr>
        <w:t xml:space="preserve">How This Helps: </w:t>
      </w:r>
      <w:r>
        <w:rPr>
          <w:i/>
        </w:rPr>
        <w:t>Notified body audits are the moment all the regulatory documentation work is tested. Companies that respond to audit findings with clear, evidence-based, traceable documents close audits favourably and on schedule. Companies that respond defensively or with weak evidence trigger escalating findings and certificate suspensions. Audit response writing is one of the highest-stakes writing tasks in the medical device industry — and one of the most rewarding when done well.</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CER is a one-time document last updated three years ago — notified body flags it as inadequate at renewal</w:t>
            </w:r>
          </w:p>
        </w:tc>
        <w:tc>
          <w:tcPr>
            <w:tcW w:type="dxa" w:w="4320"/>
          </w:tcPr>
          <w:p>
            <w:r>
              <w:t>CER maintained as a living document with documented updates — CE certificate renews without delay</w:t>
            </w:r>
          </w:p>
        </w:tc>
      </w:tr>
      <w:tr>
        <w:tc>
          <w:tcPr>
            <w:tcW w:type="dxa" w:w="4320"/>
          </w:tcPr>
          <w:p>
            <w:r>
              <w:t>IVD manufacturer struggling to produce IVDR-compliant Performance Evaluation Reports — facing loss of market access</w:t>
            </w:r>
          </w:p>
        </w:tc>
        <w:tc>
          <w:tcPr>
            <w:tcW w:type="dxa" w:w="4320"/>
          </w:tcPr>
          <w:p>
            <w:r>
              <w:t>PERs developed to IVDR Annex XIII standard — manufacturer maintains EU market presence through the transition</w:t>
            </w:r>
          </w:p>
        </w:tc>
      </w:tr>
      <w:tr>
        <w:tc>
          <w:tcPr>
            <w:tcW w:type="dxa" w:w="4320"/>
          </w:tcPr>
          <w:p>
            <w:r>
              <w:t>Post-market surveillance reports compiled inconsistently — notified body raises observations during surveillance audit</w:t>
            </w:r>
          </w:p>
        </w:tc>
        <w:tc>
          <w:tcPr>
            <w:tcW w:type="dxa" w:w="4320"/>
          </w:tcPr>
          <w:p>
            <w:r>
              <w:t>Systematic PMS reporting in place — PMSR/PSUR submitted on schedule with full data synthesis</w:t>
            </w:r>
          </w:p>
        </w:tc>
      </w:tr>
      <w:tr>
        <w:tc>
          <w:tcPr>
            <w:tcW w:type="dxa" w:w="4320"/>
          </w:tcPr>
          <w:p>
            <w:r>
              <w:t>Engineers spending 40% of their time on regulatory writing they were not hired to do — product development slips</w:t>
            </w:r>
          </w:p>
        </w:tc>
        <w:tc>
          <w:tcPr>
            <w:tcW w:type="dxa" w:w="4320"/>
          </w:tcPr>
          <w:p>
            <w:r>
              <w:t>Engineers refocus on product development — specialist external writers handle the regulatory writing workload</w:t>
            </w:r>
          </w:p>
        </w:tc>
      </w:tr>
      <w:tr>
        <w:tc>
          <w:tcPr>
            <w:tcW w:type="dxa" w:w="4320"/>
          </w:tcPr>
          <w:p>
            <w:r>
              <w:t>SSCP draft missing entirely or written by someone unfamiliar with the public-facing transparency requirements</w:t>
            </w:r>
          </w:p>
        </w:tc>
        <w:tc>
          <w:tcPr>
            <w:tcW w:type="dxa" w:w="4320"/>
          </w:tcPr>
          <w:p>
            <w:r>
              <w:t>SSCP written to MDR specification — uploaded to Eudamed on schedule</w:t>
            </w:r>
          </w:p>
        </w:tc>
      </w:tr>
      <w:tr>
        <w:tc>
          <w:tcPr>
            <w:tcW w:type="dxa" w:w="4320"/>
          </w:tcPr>
          <w:p>
            <w:r>
              <w:t>Notified body audit findings linger unresolved — surveillance certificate at risk</w:t>
            </w:r>
          </w:p>
        </w:tc>
        <w:tc>
          <w:tcPr>
            <w:tcW w:type="dxa" w:w="4320"/>
          </w:tcPr>
          <w:p>
            <w:r>
              <w:t>Audit responses prepared promptly with traceable evidence — findings closed, certificate maintained</w:t>
            </w:r>
          </w:p>
        </w:tc>
      </w:tr>
    </w:tbl>
    <w:p/>
    <w:p>
      <w:pPr>
        <w:pStyle w:val="Heading3"/>
      </w:pPr>
      <w:r>
        <w:t>WHO YOU SERVE</w:t>
      </w:r>
    </w:p>
    <w:p>
      <w:r>
        <w:t>Regulatory affairs managers, regulatory writers, quality system managers, and small-company founders at medical device and IVD manufacturers headquartered in the EU (Germany, Switzerland, the Netherlands, France, Italy, Spain), the UK, Ireland, and Israel. Their devices range from low-risk Class I to high-risk Class III implantables — and all of them face the same fundamental problem: EU MDR and IVDR have dramatically increased the volume and rigour of regulatory documentation required, and internal teams cannot keep up. They engage external regulatory writers for CER and PER drafting (typically EUR 5,000–EUR 20,000 per document), ongoing PMS support, and audit response work. They strongly prefer writers with documented medical/scientific background and MDR/IVDR experience.</w:t>
      </w:r>
    </w:p>
    <w:p>
      <w:pPr>
        <w:pStyle w:val="Heading3"/>
      </w:pPr>
      <w:r>
        <w:t>THE GUARANTEE</w:t>
      </w:r>
    </w:p>
    <w:p>
      <w:r>
        <w:rPr>
          <w:b/>
        </w:rPr>
        <w:t>If your regulatory document is not delivered to the agreed scope and schedule, I complete the remaining work at no additional cost.</w:t>
      </w:r>
    </w:p>
    <w:p>
      <w:r>
        <w:br w:type="page"/>
      </w:r>
    </w:p>
    <w:p>
      <w:pPr>
        <w:pStyle w:val="Heading1"/>
      </w:pPr>
      <w:r>
        <w:t>OFFER 8 — TECHNICAL WRITING FOR SAAS, DEEP TECH &amp; INDUSTRIAL COMPANIES</w:t>
      </w:r>
    </w:p>
    <w:p>
      <w:pPr>
        <w:pStyle w:val="Heading2"/>
      </w:pPr>
      <w:r>
        <w:t>OFFER 8A — API Documentation, Developer Guides, and SDK Documentation for SaaS and API-First Companies (US, UK, Canada, Australia)</w:t>
      </w:r>
    </w:p>
    <w:p>
      <w:pPr>
        <w:spacing w:before="120" w:after="280"/>
      </w:pPr>
      <w:r>
        <w:rPr>
          <w:b/>
          <w:i/>
          <w:sz w:val="23"/>
        </w:rPr>
        <w:t>"I Help SaaS Founders, DevRel Leaders, and Engineering Teams at API-First Companies Build Developer-Grade API Documentation, SDK Guides, and Integration Tutorials That Make Adoption Effortless — So You Stop Losing Developers to Competitors With Better Docs and Start Converting Integrations That Stick"</w:t>
      </w:r>
    </w:p>
    <w:p>
      <w:pPr>
        <w:pStyle w:val="Heading3"/>
      </w:pPr>
      <w:r>
        <w:t>WHAT YOU WILL DELIVER</w:t>
      </w:r>
    </w:p>
    <w:p>
      <w:pPr>
        <w:pStyle w:val="Heading4"/>
      </w:pPr>
      <w:r>
        <w:t>1. Reference API Documentation</w:t>
      </w:r>
    </w:p>
    <w:p>
      <w:pPr>
        <w:pStyle w:val="ListBullet"/>
      </w:pPr>
      <w:r>
        <w:t>Document every endpoint of the API: HTTP method, URL, path/query parameters, request body schema, response schema, status codes, and error codes</w:t>
      </w:r>
    </w:p>
    <w:p>
      <w:pPr>
        <w:pStyle w:val="ListBullet"/>
      </w:pPr>
      <w:r>
        <w:t>Provide working code examples for each endpoint in the languages developers actually use (Python, JavaScript/Node, Ruby, Go, Java, curl)</w:t>
      </w:r>
    </w:p>
    <w:p>
      <w:pPr>
        <w:pStyle w:val="ListBullet"/>
      </w:pPr>
      <w:r>
        <w:t>Document authentication methods (API keys, OAuth 2.0, JWT) with clear setup instructions and security best practices</w:t>
      </w:r>
    </w:p>
    <w:p>
      <w:pPr>
        <w:pStyle w:val="ListBullet"/>
      </w:pPr>
      <w:r>
        <w:t>Document rate limits, pagination, webhooks, and idempotency behaviour in dedicated sections</w:t>
      </w:r>
    </w:p>
    <w:p>
      <w:pPr>
        <w:pStyle w:val="ListBullet"/>
      </w:pPr>
      <w:r>
        <w:t>Publish reference documentation in the company's developer portal (ReadMe, Stoplight, Mintlify, Docusaurus, GitBook) with automated sync from OpenAPI/Swagger specs where applicable</w:t>
      </w:r>
    </w:p>
    <w:p>
      <w:pPr>
        <w:spacing w:before="80" w:after="280"/>
      </w:pPr>
      <w:r>
        <w:rPr>
          <w:b/>
          <w:i/>
        </w:rPr>
        <w:t xml:space="preserve">How This Helps: </w:t>
      </w:r>
      <w:r>
        <w:rPr>
          <w:i/>
        </w:rPr>
        <w:t>Developer adoption of an API is directly proportional to the quality of its documentation. Developers who cannot quickly understand how to use an API will abandon it and use a competitor's instead, even if the underlying technology is superior. The companies that win developer ecosystems — Stripe, Twilio, Plaid — invested early and heavily in documentation quality. Most engineering teams produce internal-facing documentation; external-facing reference docs require a different skill and a different writer.</w:t>
      </w:r>
    </w:p>
    <w:p>
      <w:pPr>
        <w:pStyle w:val="Heading4"/>
      </w:pPr>
      <w:r>
        <w:t>2. Getting Started Guides &amp; Quickstart Tutorials</w:t>
      </w:r>
    </w:p>
    <w:p>
      <w:pPr>
        <w:pStyle w:val="ListBullet"/>
      </w:pPr>
      <w:r>
        <w:t>Write a getting started guide that takes a new developer from zero to first successful API call in under 15 minutes</w:t>
      </w:r>
    </w:p>
    <w:p>
      <w:pPr>
        <w:pStyle w:val="ListBullet"/>
      </w:pPr>
      <w:r>
        <w:t>Develop end-to-end tutorials for the most common integration patterns the API supports — e.g., 'Build a basic payment flow', 'Sync customer data from your CRM'</w:t>
      </w:r>
    </w:p>
    <w:p>
      <w:pPr>
        <w:pStyle w:val="ListBullet"/>
      </w:pPr>
      <w:r>
        <w:t>Build language-specific quickstart guides if the company has official SDKs</w:t>
      </w:r>
    </w:p>
    <w:p>
      <w:pPr>
        <w:pStyle w:val="ListBullet"/>
      </w:pPr>
      <w:r>
        <w:t>Create video walkthroughs and Loom-style screen recordings to complement written documentation</w:t>
      </w:r>
    </w:p>
    <w:p>
      <w:pPr>
        <w:pStyle w:val="ListBullet"/>
      </w:pPr>
      <w:r>
        <w:t>Maintain a 'first 24 hours' funnel: track where new developers abandon and rewrite the documentation that loses them</w:t>
      </w:r>
    </w:p>
    <w:p>
      <w:pPr>
        <w:spacing w:before="80" w:after="280"/>
      </w:pPr>
      <w:r>
        <w:rPr>
          <w:b/>
          <w:i/>
        </w:rPr>
        <w:t xml:space="preserve">How This Helps: </w:t>
      </w:r>
      <w:r>
        <w:rPr>
          <w:i/>
        </w:rPr>
        <w:t>Time-to-first-success is the most important metric in developer onboarding. A developer who makes a successful API call in 10 minutes is dramatically more likely to integrate fully than a developer who takes 45 minutes. Quickstart guide quality is one of the highest-leverage investments a developer-facing company can make — and most companies neglect it in favour of comprehensive but unwelcoming reference documentation.</w:t>
      </w:r>
    </w:p>
    <w:p>
      <w:pPr>
        <w:pStyle w:val="Heading4"/>
      </w:pPr>
      <w:r>
        <w:t>3. SDK Documentation &amp; Client Library Guides</w:t>
      </w:r>
    </w:p>
    <w:p>
      <w:pPr>
        <w:pStyle w:val="ListBullet"/>
      </w:pPr>
      <w:r>
        <w:t>Document the company's official SDKs in each supported language — installation, configuration, common usage patterns, and language-idiomatic examples</w:t>
      </w:r>
    </w:p>
    <w:p>
      <w:pPr>
        <w:pStyle w:val="ListBullet"/>
      </w:pPr>
      <w:r>
        <w:t>Maintain versioned SDK documentation aligned with SDK release cycles</w:t>
      </w:r>
    </w:p>
    <w:p>
      <w:pPr>
        <w:pStyle w:val="ListBullet"/>
      </w:pPr>
      <w:r>
        <w:t>Develop framework-specific integration guides (React, Vue, Django, Rails, Express, FastAPI, Next.js)</w:t>
      </w:r>
    </w:p>
    <w:p>
      <w:pPr>
        <w:pStyle w:val="ListBullet"/>
      </w:pPr>
      <w:r>
        <w:t>Document SDK error handling, retry logic, and observability hooks</w:t>
      </w:r>
    </w:p>
    <w:p>
      <w:pPr>
        <w:pStyle w:val="ListBullet"/>
      </w:pPr>
      <w:r>
        <w:t>Build sample applications demonstrating real-world SDK use — the artefacts developers actually copy from</w:t>
      </w:r>
    </w:p>
    <w:p>
      <w:pPr>
        <w:spacing w:before="80" w:after="280"/>
      </w:pPr>
      <w:r>
        <w:rPr>
          <w:b/>
          <w:i/>
        </w:rPr>
        <w:t xml:space="preserve">How This Helps: </w:t>
      </w:r>
      <w:r>
        <w:rPr>
          <w:i/>
        </w:rPr>
        <w:t>SDKs are how the majority of integrations happen — most developers do not call the raw API, they install the SDK. SDK documentation quality determines how confidently developers adopt the library and how often they reach for paid support versus solving problems themselves. Companies with well-documented SDKs have dramatically lower developer support costs and faster integration cycles.</w:t>
      </w:r>
    </w:p>
    <w:p>
      <w:pPr>
        <w:pStyle w:val="Heading4"/>
      </w:pPr>
      <w:r>
        <w:t>4. Integration Tutorials, Use Cases &amp; Recipes</w:t>
      </w:r>
    </w:p>
    <w:p>
      <w:pPr>
        <w:pStyle w:val="ListBullet"/>
      </w:pPr>
      <w:r>
        <w:t>Develop a library of integration recipes — short, focused tutorials solving a single concrete problem (e.g., 'How to handle subscription upgrades with prorated billing')</w:t>
      </w:r>
    </w:p>
    <w:p>
      <w:pPr>
        <w:pStyle w:val="ListBullet"/>
      </w:pPr>
      <w:r>
        <w:t>Write end-to-end use case tutorials demonstrating multi-endpoint workflows (e.g., 'How to build a marketplace with split payouts')</w:t>
      </w:r>
    </w:p>
    <w:p>
      <w:pPr>
        <w:pStyle w:val="ListBullet"/>
      </w:pPr>
      <w:r>
        <w:t>Build code samples and reference applications in GitHub — properly documented, kept in sync with API changes</w:t>
      </w:r>
    </w:p>
    <w:p>
      <w:pPr>
        <w:pStyle w:val="ListBullet"/>
      </w:pPr>
      <w:r>
        <w:t>Develop migration guides for developers switching from competitor APIs — making the switching cost as low as possible</w:t>
      </w:r>
    </w:p>
    <w:p>
      <w:pPr>
        <w:pStyle w:val="ListBullet"/>
      </w:pPr>
      <w:r>
        <w:t>Maintain a public changelog and release notes documentation so developers can track API evolution</w:t>
      </w:r>
    </w:p>
    <w:p>
      <w:pPr>
        <w:spacing w:before="80" w:after="280"/>
      </w:pPr>
      <w:r>
        <w:rPr>
          <w:b/>
          <w:i/>
        </w:rPr>
        <w:t xml:space="preserve">How This Helps: </w:t>
      </w:r>
      <w:r>
        <w:rPr>
          <w:i/>
        </w:rPr>
        <w:t>Recipes and use case tutorials are what developers actually search for. 'Documentation' as a category gets people in the door; recipes are what convert curiosity into integration. The companies with the deepest recipe libraries — Stripe, Twilio, Postman — have built moats around themselves that compete primarily on documentation rather than on raw API capability.</w:t>
      </w:r>
    </w:p>
    <w:p>
      <w:pPr>
        <w:pStyle w:val="Heading4"/>
      </w:pPr>
      <w:r>
        <w:t>5. Developer Communications &amp; Release Documentation</w:t>
      </w:r>
    </w:p>
    <w:p>
      <w:pPr>
        <w:pStyle w:val="ListBullet"/>
      </w:pPr>
      <w:r>
        <w:t>Write release notes for every API and SDK version — clearly distinguishing breaking changes, additions, fixes, and deprecations</w:t>
      </w:r>
    </w:p>
    <w:p>
      <w:pPr>
        <w:pStyle w:val="ListBullet"/>
      </w:pPr>
      <w:r>
        <w:t>Develop migration guides for breaking changes — making upgrade paths as low-effort as possible for the developer</w:t>
      </w:r>
    </w:p>
    <w:p>
      <w:pPr>
        <w:pStyle w:val="ListBullet"/>
      </w:pPr>
      <w:r>
        <w:t>Produce monthly or quarterly developer newsletters surfacing new capabilities, recipes, and case studies</w:t>
      </w:r>
    </w:p>
    <w:p>
      <w:pPr>
        <w:pStyle w:val="ListBullet"/>
      </w:pPr>
      <w:r>
        <w:t>Document the API's deprecation policy, versioning strategy, and long-term support commitments</w:t>
      </w:r>
    </w:p>
    <w:p>
      <w:pPr>
        <w:pStyle w:val="ListBullet"/>
      </w:pPr>
      <w:r>
        <w:t>Develop status page documentation and incident communication standards</w:t>
      </w:r>
    </w:p>
    <w:p>
      <w:pPr>
        <w:spacing w:before="80" w:after="280"/>
      </w:pPr>
      <w:r>
        <w:rPr>
          <w:b/>
          <w:i/>
        </w:rPr>
        <w:t xml:space="preserve">How This Helps: </w:t>
      </w:r>
      <w:r>
        <w:rPr>
          <w:i/>
        </w:rPr>
        <w:t>Trust in an API is built over years and lost in days. Companies that communicate breaking changes well, deprecate gracefully, and provide clear migration paths build developer loyalty that competitors cannot easily disrupt. Companies that handle change communication poorly lose developer trust the first time they cause a production incident — and recovering that trust takes years.</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Developers spend 45 minutes trying to make their first API call — most give up and try a competitor</w:t>
            </w:r>
          </w:p>
        </w:tc>
        <w:tc>
          <w:tcPr>
            <w:tcW w:type="dxa" w:w="4320"/>
          </w:tcPr>
          <w:p>
            <w:r>
              <w:t>Time-to-first-API-call under 15 minutes — developer activation rates double</w:t>
            </w:r>
          </w:p>
        </w:tc>
      </w:tr>
      <w:tr>
        <w:tc>
          <w:tcPr>
            <w:tcW w:type="dxa" w:w="4320"/>
          </w:tcPr>
          <w:p>
            <w:r>
              <w:t>API reference docs out of sync with the actual API — developers raise support tickets that should have been answered by docs</w:t>
            </w:r>
          </w:p>
        </w:tc>
        <w:tc>
          <w:tcPr>
            <w:tcW w:type="dxa" w:w="4320"/>
          </w:tcPr>
          <w:p>
            <w:r>
              <w:t>Reference docs auto-synced from OpenAPI spec — drift eliminated, support tickets fall</w:t>
            </w:r>
          </w:p>
        </w:tc>
      </w:tr>
      <w:tr>
        <w:tc>
          <w:tcPr>
            <w:tcW w:type="dxa" w:w="4320"/>
          </w:tcPr>
          <w:p>
            <w:r>
              <w:t>SDK documentation thin — developers default to calling the raw API and miss SDK conveniences</w:t>
            </w:r>
          </w:p>
        </w:tc>
        <w:tc>
          <w:tcPr>
            <w:tcW w:type="dxa" w:w="4320"/>
          </w:tcPr>
          <w:p>
            <w:r>
              <w:t>SDK documentation rich with idiomatic examples — adoption shifts to SDKs and support load drops</w:t>
            </w:r>
          </w:p>
        </w:tc>
      </w:tr>
      <w:tr>
        <w:tc>
          <w:tcPr>
            <w:tcW w:type="dxa" w:w="4320"/>
          </w:tcPr>
          <w:p>
            <w:r>
              <w:t>No public recipe library — developers ask the same integration questions repeatedly in support and community channels</w:t>
            </w:r>
          </w:p>
        </w:tc>
        <w:tc>
          <w:tcPr>
            <w:tcW w:type="dxa" w:w="4320"/>
          </w:tcPr>
          <w:p>
            <w:r>
              <w:t>Library of 30–50 recipes covering common integration patterns — support load lightens, community engagement grows</w:t>
            </w:r>
          </w:p>
        </w:tc>
      </w:tr>
      <w:tr>
        <w:tc>
          <w:tcPr>
            <w:tcW w:type="dxa" w:w="4320"/>
          </w:tcPr>
          <w:p>
            <w:r>
              <w:t>Breaking change rolled out with weak release notes — production incidents, customer escalations, lost trust</w:t>
            </w:r>
          </w:p>
        </w:tc>
        <w:tc>
          <w:tcPr>
            <w:tcW w:type="dxa" w:w="4320"/>
          </w:tcPr>
          <w:p>
            <w:r>
              <w:t>Breaking changes communicated with migration guides 90 days ahead — upgrades happen smoothly, trust compounds</w:t>
            </w:r>
          </w:p>
        </w:tc>
      </w:tr>
      <w:tr>
        <w:tc>
          <w:tcPr>
            <w:tcW w:type="dxa" w:w="4320"/>
          </w:tcPr>
          <w:p>
            <w:r>
              <w:t>Developer experience metrics declining quarter over quarter — investor questions emerging</w:t>
            </w:r>
          </w:p>
        </w:tc>
        <w:tc>
          <w:tcPr>
            <w:tcW w:type="dxa" w:w="4320"/>
          </w:tcPr>
          <w:p>
            <w:r>
              <w:t>Developer experience metrics improving alongside documentation investment — developer-led growth motion begins to compound</w:t>
            </w:r>
          </w:p>
        </w:tc>
      </w:tr>
    </w:tbl>
    <w:p/>
    <w:p>
      <w:pPr>
        <w:pStyle w:val="Heading3"/>
      </w:pPr>
      <w:r>
        <w:t>WHO YOU SERVE</w:t>
      </w:r>
    </w:p>
    <w:p>
      <w:r>
        <w:t>Founders, CTOs, heads of developer relations, and developer experience managers at API-first SaaS companies, developer tools companies, and infrastructure platforms — Series A through public-stage — headquartered in the US, UK, Canada, and Australia. Their products are sold to developers and integrated into customers' production systems, which means documentation IS the product experience. They engage external technical writers for full developer portal builds, ongoing documentation maintenance, SDK documentation work, and recipe library production at rates of USD 75–USD 150 per hour or USD 3,000–USD 15,000 per project scope.</w:t>
      </w:r>
    </w:p>
    <w:p>
      <w:pPr>
        <w:pStyle w:val="Heading3"/>
      </w:pPr>
      <w:r>
        <w:t>THE GUARANTEE</w:t>
      </w:r>
    </w:p>
    <w:p>
      <w:r>
        <w:rPr>
          <w:b/>
        </w:rPr>
        <w:t>If your documentation is not delivered to the agreed scope and schedule, I complete the remaining work at no additional cost.</w:t>
      </w:r>
    </w:p>
    <w:p>
      <w:r>
        <w:br w:type="page"/>
      </w:r>
    </w:p>
    <w:p>
      <w:pPr>
        <w:pStyle w:val="Heading2"/>
      </w:pPr>
      <w:r>
        <w:t>OFFER 8B — Product Manuals, SOPs, and Technical Documentation for Hardware, Industrial Tech, and Manufacturing Companies (US, UK, Germany, Australia)</w:t>
      </w:r>
    </w:p>
    <w:p>
      <w:pPr>
        <w:spacing w:before="120" w:after="280"/>
      </w:pPr>
      <w:r>
        <w:rPr>
          <w:b/>
          <w:i/>
          <w:sz w:val="23"/>
        </w:rPr>
        <w:t>"I Help Operations Directors and Product Teams at Hardware, Industrial Tech, and Manufacturing Companies Build Product Manuals, Standard Operating Procedures, and Customer Documentation That Customers and Employees Can Actually Use — So You Reduce Support Burden, Pass Audits Cleanly, and Onboard Faster"</w:t>
      </w:r>
    </w:p>
    <w:p>
      <w:pPr>
        <w:pStyle w:val="Heading3"/>
      </w:pPr>
      <w:r>
        <w:t>WHAT YOU WILL DELIVER</w:t>
      </w:r>
    </w:p>
    <w:p>
      <w:pPr>
        <w:pStyle w:val="Heading4"/>
      </w:pPr>
      <w:r>
        <w:t>1. Product Manuals &amp; User Guides (Hardware &amp; Industrial Equipment)</w:t>
      </w:r>
    </w:p>
    <w:p>
      <w:pPr>
        <w:pStyle w:val="ListBullet"/>
      </w:pPr>
      <w:r>
        <w:t>Write user manuals for hardware products and industrial equipment — installation, setup, operation, maintenance, troubleshooting, and safety</w:t>
      </w:r>
    </w:p>
    <w:p>
      <w:pPr>
        <w:pStyle w:val="ListBullet"/>
      </w:pPr>
      <w:r>
        <w:t>Include all required regulatory content: CE marking declarations, safety warnings (ISO 7010 pictograms), electrical certifications, environmental disposal information</w:t>
      </w:r>
    </w:p>
    <w:p>
      <w:pPr>
        <w:pStyle w:val="ListBullet"/>
      </w:pPr>
      <w:r>
        <w:t>Structure manuals for the actual user — operators, maintenance technicians, installation contractors — rather than as engineering reference documents</w:t>
      </w:r>
    </w:p>
    <w:p>
      <w:pPr>
        <w:pStyle w:val="ListBullet"/>
      </w:pPr>
      <w:r>
        <w:t>Produce manuals in the multiple languages required for the product's market footprint (translated by qualified technical translators, reviewed for technical accuracy)</w:t>
      </w:r>
    </w:p>
    <w:p>
      <w:pPr>
        <w:pStyle w:val="ListBullet"/>
      </w:pPr>
      <w:r>
        <w:t>Develop visual content (exploded diagrams, wiring diagrams, process flowcharts) in coordination with the engineering team</w:t>
      </w:r>
    </w:p>
    <w:p>
      <w:pPr>
        <w:spacing w:before="80" w:after="280"/>
      </w:pPr>
      <w:r>
        <w:rPr>
          <w:b/>
          <w:i/>
        </w:rPr>
        <w:t xml:space="preserve">How This Helps: </w:t>
      </w:r>
      <w:r>
        <w:rPr>
          <w:i/>
        </w:rPr>
        <w:t>Hardware product manuals are simultaneously a customer experience tool, a regulatory document, and a liability shield. Poor manuals cost the company in support tickets, RMA rates, warranty claims, and litigation exposure. Good manuals reduce all three. Most engineering teams cannot write end-user manuals because the gap between their understanding and the user's is too large to bridge without external help.</w:t>
      </w:r>
    </w:p>
    <w:p>
      <w:pPr>
        <w:pStyle w:val="Heading4"/>
      </w:pPr>
      <w:r>
        <w:t>2. Standard Operating Procedures (SOPs) &amp; Work Instructions</w:t>
      </w:r>
    </w:p>
    <w:p>
      <w:pPr>
        <w:pStyle w:val="ListBullet"/>
      </w:pPr>
      <w:r>
        <w:t>Write SOPs for recurring operational and manufacturing processes — formatted clearly with numbered steps, decision points, responsibility assignments, and acceptance criteria</w:t>
      </w:r>
    </w:p>
    <w:p>
      <w:pPr>
        <w:pStyle w:val="ListBullet"/>
      </w:pPr>
      <w:r>
        <w:t>Develop work instructions for shop floor and production operations — visual, language-light, designed for use on the manufacturing floor with gloved hands</w:t>
      </w:r>
    </w:p>
    <w:p>
      <w:pPr>
        <w:pStyle w:val="ListBullet"/>
      </w:pPr>
      <w:r>
        <w:t>Document quality control procedures, calibration procedures, and inspection protocols aligned to the organisation's quality management system (ISO 9001, IATF 16949, ISO 13485)</w:t>
      </w:r>
    </w:p>
    <w:p>
      <w:pPr>
        <w:pStyle w:val="ListBullet"/>
      </w:pPr>
      <w:r>
        <w:t>Create training documentation that accompanies SOPs — competency assessments, training records, and re-certification schedules</w:t>
      </w:r>
    </w:p>
    <w:p>
      <w:pPr>
        <w:pStyle w:val="ListBullet"/>
      </w:pPr>
      <w:r>
        <w:t>Maintain a controlled document register with version control, approval workflows, and change history</w:t>
      </w:r>
    </w:p>
    <w:p>
      <w:pPr>
        <w:spacing w:before="80" w:after="280"/>
      </w:pPr>
      <w:r>
        <w:rPr>
          <w:b/>
          <w:i/>
        </w:rPr>
        <w:t xml:space="preserve">How This Helps: </w:t>
      </w:r>
      <w:r>
        <w:rPr>
          <w:i/>
        </w:rPr>
        <w:t>Operational knowledge that lives only in people's heads is a fragility — when a key employee leaves, takes sick leave, or moves to another project, the knowledge leaves with them. SOPs and work instructions convert tacit knowledge into documented systems, allowing the organisation to scale, onboard faster, maintain consistency across teams and shifts, and pass external audits without scrambling.</w:t>
      </w:r>
    </w:p>
    <w:p>
      <w:pPr>
        <w:pStyle w:val="Heading4"/>
      </w:pPr>
      <w:r>
        <w:t>3. Maintenance Manuals &amp; Field Service Documentation</w:t>
      </w:r>
    </w:p>
    <w:p>
      <w:pPr>
        <w:pStyle w:val="ListBullet"/>
      </w:pPr>
      <w:r>
        <w:t>Write maintenance manuals for installed hardware — preventive maintenance schedules, troubleshooting decision trees, and repair procedures</w:t>
      </w:r>
    </w:p>
    <w:p>
      <w:pPr>
        <w:pStyle w:val="ListBullet"/>
      </w:pPr>
      <w:r>
        <w:t>Develop field service documentation — the documents service engineers carry into customer sites, structured to be used in the field rather than in the office</w:t>
      </w:r>
    </w:p>
    <w:p>
      <w:pPr>
        <w:pStyle w:val="ListBullet"/>
      </w:pPr>
      <w:r>
        <w:t>Document spare parts catalogues with part numbers, compatibility matrices, and ordering information</w:t>
      </w:r>
    </w:p>
    <w:p>
      <w:pPr>
        <w:pStyle w:val="ListBullet"/>
      </w:pPr>
      <w:r>
        <w:t>Create technician-facing troubleshooting guides organised by symptom (what the customer reports) rather than by component (what the engineer thinks)</w:t>
      </w:r>
    </w:p>
    <w:p>
      <w:pPr>
        <w:pStyle w:val="ListBullet"/>
      </w:pPr>
      <w:r>
        <w:t>Develop training materials for field service technicians, including hands-on practical assessments</w:t>
      </w:r>
    </w:p>
    <w:p>
      <w:pPr>
        <w:spacing w:before="80" w:after="280"/>
      </w:pPr>
      <w:r>
        <w:rPr>
          <w:b/>
          <w:i/>
        </w:rPr>
        <w:t xml:space="preserve">How This Helps: </w:t>
      </w:r>
      <w:r>
        <w:rPr>
          <w:i/>
        </w:rPr>
        <w:t>Field service documentation is where the rubber meets the road in industrial product support. A service engineer arriving at a customer site with the wrong information or no information costs the company directly — additional truck rolls, extended downtime, escalations to senior engineers. Documentation that the field service team actually uses, organised the way they actually think, reduces service costs and improves customer satisfaction simultaneously.</w:t>
      </w:r>
    </w:p>
    <w:p>
      <w:pPr>
        <w:pStyle w:val="Heading4"/>
      </w:pPr>
      <w:r>
        <w:t>4. Compliance Documentation &amp; Regulatory Submissions (Non-Medical)</w:t>
      </w:r>
    </w:p>
    <w:p>
      <w:pPr>
        <w:pStyle w:val="ListBullet"/>
      </w:pPr>
      <w:r>
        <w:t>Prepare technical files and conformity documentation for CE marking, UKCA marking, and equivalent compliance regimes</w:t>
      </w:r>
    </w:p>
    <w:p>
      <w:pPr>
        <w:pStyle w:val="ListBullet"/>
      </w:pPr>
      <w:r>
        <w:t>Develop product safety documentation aligned to applicable standards (Low Voltage Directive, EMC Directive, Machinery Directive, RoHS, REACH, WEEE)</w:t>
      </w:r>
    </w:p>
    <w:p>
      <w:pPr>
        <w:pStyle w:val="ListBullet"/>
      </w:pPr>
      <w:r>
        <w:t>Write technical documentation for customs classification, country-of-origin determination, and export compliance</w:t>
      </w:r>
    </w:p>
    <w:p>
      <w:pPr>
        <w:pStyle w:val="ListBullet"/>
      </w:pPr>
      <w:r>
        <w:t>Develop sustainability and ESG documentation: carbon footprint statements, recycled content declarations, supplier compliance attestations</w:t>
      </w:r>
    </w:p>
    <w:p>
      <w:pPr>
        <w:pStyle w:val="ListBullet"/>
      </w:pPr>
      <w:r>
        <w:t>Maintain regulatory documentation libraries that can be presented to customers, auditors, and regulators on demand</w:t>
      </w:r>
    </w:p>
    <w:p>
      <w:pPr>
        <w:spacing w:before="80" w:after="280"/>
      </w:pPr>
      <w:r>
        <w:rPr>
          <w:b/>
          <w:i/>
        </w:rPr>
        <w:t xml:space="preserve">How This Helps: </w:t>
      </w:r>
      <w:r>
        <w:rPr>
          <w:i/>
        </w:rPr>
        <w:t>Industrial customers — especially in regulated industries — buy on documentation as much as on product capability. A product without complete compliance documentation cannot be sold into customers with formal procurement processes. The company with the cleanest documentation library wins enterprise sales that better-engineered competitors lose.</w:t>
      </w:r>
    </w:p>
    <w:p>
      <w:pPr>
        <w:pStyle w:val="Heading4"/>
      </w:pPr>
      <w:r>
        <w:t>5. Customer Onboarding, Training, and Knowledge Base Content</w:t>
      </w:r>
    </w:p>
    <w:p>
      <w:pPr>
        <w:pStyle w:val="ListBullet"/>
      </w:pPr>
      <w:r>
        <w:t>Develop customer onboarding documentation — from initial unboxing through first successful production use</w:t>
      </w:r>
    </w:p>
    <w:p>
      <w:pPr>
        <w:pStyle w:val="ListBullet"/>
      </w:pPr>
      <w:r>
        <w:t>Build searchable knowledge bases and self-service support content — articles, video walkthroughs, and decision tools that deflect support tickets</w:t>
      </w:r>
    </w:p>
    <w:p>
      <w:pPr>
        <w:pStyle w:val="ListBullet"/>
      </w:pPr>
      <w:r>
        <w:t>Write training materials for customer power users — the people inside the customer organisation who become the internal champions for the product</w:t>
      </w:r>
    </w:p>
    <w:p>
      <w:pPr>
        <w:pStyle w:val="ListBullet"/>
      </w:pPr>
      <w:r>
        <w:t>Develop customer success playbooks that guide post-sale relationship management</w:t>
      </w:r>
    </w:p>
    <w:p>
      <w:pPr>
        <w:pStyle w:val="ListBullet"/>
      </w:pPr>
      <w:r>
        <w:t>Maintain documentation in synchronisation with product releases — release notes, what's new summaries, and migration guides for major version transitions</w:t>
      </w:r>
    </w:p>
    <w:p>
      <w:pPr>
        <w:spacing w:before="80" w:after="280"/>
      </w:pPr>
      <w:r>
        <w:rPr>
          <w:b/>
          <w:i/>
        </w:rPr>
        <w:t xml:space="preserve">How This Helps: </w:t>
      </w:r>
      <w:r>
        <w:rPr>
          <w:i/>
        </w:rPr>
        <w:t>Customer onboarding quality determines retention. A customer who reaches first production value quickly stays; a customer who struggles for weeks churns. Self-service knowledge bases that genuinely answer customers' questions reduce support volume by 30–50% while improving customer satisfaction. This is one of the few investments that simultaneously reduces cost and increases revenue.</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Product launch shipped without complete manuals — distributor returns spike, support volume overwhelms the team</w:t>
            </w:r>
          </w:p>
        </w:tc>
        <w:tc>
          <w:tcPr>
            <w:tcW w:type="dxa" w:w="4320"/>
          </w:tcPr>
          <w:p>
            <w:r>
              <w:t>Product manuals complete and translated at launch — distributors confident, support volume within plan</w:t>
            </w:r>
          </w:p>
        </w:tc>
      </w:tr>
      <w:tr>
        <w:tc>
          <w:tcPr>
            <w:tcW w:type="dxa" w:w="4320"/>
          </w:tcPr>
          <w:p>
            <w:r>
              <w:t>Operational knowledge lives in three senior employees — when one leaves, capability degrades</w:t>
            </w:r>
          </w:p>
        </w:tc>
        <w:tc>
          <w:tcPr>
            <w:tcW w:type="dxa" w:w="4320"/>
          </w:tcPr>
          <w:p>
            <w:r>
              <w:t>SOPs documented and controlled — operational knowledge survives staff transitions</w:t>
            </w:r>
          </w:p>
        </w:tc>
      </w:tr>
      <w:tr>
        <w:tc>
          <w:tcPr>
            <w:tcW w:type="dxa" w:w="4320"/>
          </w:tcPr>
          <w:p>
            <w:r>
              <w:t>Field service technicians make repeat truck rolls because the troubleshooting guides assume too much knowledge</w:t>
            </w:r>
          </w:p>
        </w:tc>
        <w:tc>
          <w:tcPr>
            <w:tcW w:type="dxa" w:w="4320"/>
          </w:tcPr>
          <w:p>
            <w:r>
              <w:t>Field service documentation organised around customer-reported symptoms — first-time fix rates rise</w:t>
            </w:r>
          </w:p>
        </w:tc>
      </w:tr>
      <w:tr>
        <w:tc>
          <w:tcPr>
            <w:tcW w:type="dxa" w:w="4320"/>
          </w:tcPr>
          <w:p>
            <w:r>
              <w:t>Quality system audit produces findings on documentation gaps — certification at risk</w:t>
            </w:r>
          </w:p>
        </w:tc>
        <w:tc>
          <w:tcPr>
            <w:tcW w:type="dxa" w:w="4320"/>
          </w:tcPr>
          <w:p>
            <w:r>
              <w:t>Quality system documentation comprehensive and current — audits close cleanly</w:t>
            </w:r>
          </w:p>
        </w:tc>
      </w:tr>
      <w:tr>
        <w:tc>
          <w:tcPr>
            <w:tcW w:type="dxa" w:w="4320"/>
          </w:tcPr>
          <w:p>
            <w:r>
              <w:t>Enterprise sales lost because the company cannot produce CE marking technical files and supplier compliance documentation on request</w:t>
            </w:r>
          </w:p>
        </w:tc>
        <w:tc>
          <w:tcPr>
            <w:tcW w:type="dxa" w:w="4320"/>
          </w:tcPr>
          <w:p>
            <w:r>
              <w:t>Compliance documentation maintained as a living library — enterprise sales process moves forward without documentation delays</w:t>
            </w:r>
          </w:p>
        </w:tc>
      </w:tr>
      <w:tr>
        <w:tc>
          <w:tcPr>
            <w:tcW w:type="dxa" w:w="4320"/>
          </w:tcPr>
          <w:p>
            <w:r>
              <w:t>Customer support load growing faster than headcount — quality of support declining</w:t>
            </w:r>
          </w:p>
        </w:tc>
        <w:tc>
          <w:tcPr>
            <w:tcW w:type="dxa" w:w="4320"/>
          </w:tcPr>
          <w:p>
            <w:r>
              <w:t>Self-service knowledge base reduces ticket volume by 30–50% — remaining support load handled with quality</w:t>
            </w:r>
          </w:p>
        </w:tc>
      </w:tr>
    </w:tbl>
    <w:p/>
    <w:p>
      <w:pPr>
        <w:pStyle w:val="Heading3"/>
      </w:pPr>
      <w:r>
        <w:t>WHO YOU SERVE</w:t>
      </w:r>
    </w:p>
    <w:p>
      <w:r>
        <w:t>Operations directors, product managers, head of quality, and operations general managers at hardware product companies, industrial equipment manufacturers, contract manufacturers, and engineering services firms — headquartered in the US, UK, Germany, Switzerland, France, and Australia. Their products are sold into industrial, manufacturing, automotive, energy, or critical infrastructure customers — buyers who expect documentation rigor as a baseline. They engage external technical writers for product manual rewrites, SOP library development, compliance documentation projects, and knowledge base content programmes at hourly rates of USD 50–USD 120 and project rates of USD 5,000–USD 25,000 depending on scope.</w:t>
      </w:r>
    </w:p>
    <w:p>
      <w:pPr>
        <w:pStyle w:val="Heading3"/>
      </w:pPr>
      <w:r>
        <w:t>THE GUARANTEE</w:t>
      </w:r>
    </w:p>
    <w:p>
      <w:r>
        <w:rPr>
          <w:b/>
        </w:rPr>
        <w:t>If your technical documentation is not delivered to the agreed scope and schedule, I complete the remaining work at no additional cost.</w:t>
      </w:r>
    </w:p>
    <w:p>
      <w:r>
        <w:br w:type="page"/>
      </w:r>
    </w:p>
    <w:p>
      <w:pPr>
        <w:pStyle w:val="Heading1"/>
      </w:pPr>
      <w:r>
        <w:t>OFFER 9 — GHOSTWRITING FOR EXECUTIVES, CONSULTANTS &amp; EXPERT PROFESSIONALS</w:t>
      </w:r>
    </w:p>
    <w:p>
      <w:pPr>
        <w:pStyle w:val="Heading2"/>
      </w:pPr>
      <w:r>
        <w:t>OFFER 9A — Business Book Ghostwriting for Executives, Consultants, Coaches and Senior Professionals (US, UK, Canada, Australia)</w:t>
      </w:r>
    </w:p>
    <w:p>
      <w:pPr>
        <w:spacing w:before="120" w:after="280"/>
      </w:pPr>
      <w:r>
        <w:rPr>
          <w:b/>
          <w:i/>
          <w:sz w:val="23"/>
        </w:rPr>
        <w:t>"I Help Executives, Consultants, and Senior Professionals Write and Publish the Book They Have Been Planning for Years — I Conduct the Research, Structure the Narrative, Write the Chapters, and Prepare the Manuscript for Submission to Literary Agents or Self-Publishing — So the Book Gets Done in 6 Months Instead of Never"</w:t>
      </w:r>
    </w:p>
    <w:p>
      <w:pPr>
        <w:pStyle w:val="Heading3"/>
      </w:pPr>
      <w:r>
        <w:t>WHAT YOU WILL DELIVER</w:t>
      </w:r>
    </w:p>
    <w:p>
      <w:pPr>
        <w:pStyle w:val="Heading4"/>
      </w:pPr>
      <w:r>
        <w:t>1. Book Structure, Proposal &amp; Chapter Outline</w:t>
      </w:r>
    </w:p>
    <w:p>
      <w:pPr>
        <w:pStyle w:val="ListBullet"/>
      </w:pPr>
      <w:r>
        <w:t>Through structured conversations (recorded Zoom calls, voice notes, or existing written material), extract the author's core ideas, lived experience, frameworks, and stories</w:t>
      </w:r>
    </w:p>
    <w:p>
      <w:pPr>
        <w:pStyle w:val="ListBullet"/>
      </w:pPr>
      <w:r>
        <w:t>Design a book structure that serves both the author's intellectual goals and a mainstream reader's need for clarity, narrative momentum, and a clear takeaway per chapter</w:t>
      </w:r>
    </w:p>
    <w:p>
      <w:pPr>
        <w:pStyle w:val="ListBullet"/>
      </w:pPr>
      <w:r>
        <w:t>Write a full non-fiction book proposal: overview, chapter-by-chapter synopsis, author bio, target audience, market analysis, comparable titles ('comps'), marketing and platform section — formatted for literary agents</w:t>
      </w:r>
    </w:p>
    <w:p>
      <w:pPr>
        <w:pStyle w:val="ListBullet"/>
      </w:pPr>
      <w:r>
        <w:t>Develop the book's positioning: what is the central argument, why does it matter now, who is it for, and what does the reader walk away believing or doing differently</w:t>
      </w:r>
    </w:p>
    <w:p>
      <w:pPr>
        <w:pStyle w:val="ListBullet"/>
      </w:pPr>
      <w:r>
        <w:t>Produce a detailed chapter-by-chapter outline that becomes the writing roadmap</w:t>
      </w:r>
    </w:p>
    <w:p>
      <w:pPr>
        <w:spacing w:before="80" w:after="280"/>
      </w:pPr>
      <w:r>
        <w:rPr>
          <w:b/>
          <w:i/>
        </w:rPr>
        <w:t xml:space="preserve">How This Helps: </w:t>
      </w:r>
      <w:r>
        <w:rPr>
          <w:i/>
        </w:rPr>
        <w:t>The single biggest reason planned books never become finished books is structural — the author has ideas but no architecture. When you deliver a book structure and chapter outline that the author endorses, the rest of the process becomes execution rather than discovery. Most ghostwritten books that get finished get finished because the structure was strong; most that stall, stall because it was not.</w:t>
      </w:r>
    </w:p>
    <w:p>
      <w:pPr>
        <w:pStyle w:val="Heading4"/>
      </w:pPr>
      <w:r>
        <w:t>2. Research &amp; Source Material Development</w:t>
      </w:r>
    </w:p>
    <w:p>
      <w:pPr>
        <w:pStyle w:val="ListBullet"/>
      </w:pPr>
      <w:r>
        <w:t>Conduct supporting research: interviews with secondary sources, case studies, statistics, expert quotes, recent publications, and historical examples that strengthen the book's arguments</w:t>
      </w:r>
    </w:p>
    <w:p>
      <w:pPr>
        <w:pStyle w:val="ListBullet"/>
      </w:pPr>
      <w:r>
        <w:t>Develop case studies and worked examples — turning the author's professional experience into the kind of named, narrated stories that carry a non-fiction book</w:t>
      </w:r>
    </w:p>
    <w:p>
      <w:pPr>
        <w:pStyle w:val="ListBullet"/>
      </w:pPr>
      <w:r>
        <w:t>Conduct supplementary interviews with the author's clients, peers, or subjects (with consent) when those perspectives strengthen specific chapters</w:t>
      </w:r>
    </w:p>
    <w:p>
      <w:pPr>
        <w:pStyle w:val="ListBullet"/>
      </w:pPr>
      <w:r>
        <w:t>Build a research file the author can refer to throughout the book launch (for podcasts, interviews, and follow-on content)</w:t>
      </w:r>
    </w:p>
    <w:p>
      <w:pPr>
        <w:spacing w:before="80" w:after="280"/>
      </w:pPr>
      <w:r>
        <w:rPr>
          <w:b/>
          <w:i/>
        </w:rPr>
        <w:t xml:space="preserve">How This Helps: </w:t>
      </w:r>
      <w:r>
        <w:rPr>
          <w:i/>
        </w:rPr>
        <w:t>Strong non-fiction books are built on evidence, not just opinion. The author has authority — but turning that authority into a book that holds up under intellectual scrutiny requires research that goes well beyond the author's own experience. Good ghostwriting research is what separates a forgettable thought leadership book from a book that becomes a category-defining reference.</w:t>
      </w:r>
    </w:p>
    <w:p>
      <w:pPr>
        <w:pStyle w:val="Heading4"/>
      </w:pPr>
      <w:r>
        <w:t>3. Chapter Drafting &amp; Voice Capture</w:t>
      </w:r>
    </w:p>
    <w:p>
      <w:pPr>
        <w:pStyle w:val="ListBullet"/>
      </w:pPr>
      <w:r>
        <w:t>Write each chapter (typically 4,000–8,000 words) in the author's voice — captured through interviews, voice notes, and review of the author's existing writing</w:t>
      </w:r>
    </w:p>
    <w:p>
      <w:pPr>
        <w:pStyle w:val="ListBullet"/>
      </w:pPr>
      <w:r>
        <w:t>Maintain voice consistency across chapters even as the writing happens over many months</w:t>
      </w:r>
    </w:p>
    <w:p>
      <w:pPr>
        <w:pStyle w:val="ListBullet"/>
      </w:pPr>
      <w:r>
        <w:t>Integrate stories, frameworks, data, and the author's distinctive perspective in the rhythm a strong non-fiction book requires</w:t>
      </w:r>
    </w:p>
    <w:p>
      <w:pPr>
        <w:pStyle w:val="ListBullet"/>
      </w:pPr>
      <w:r>
        <w:t>Deliver chapters on a regular cadence (typically one chapter every 2–3 weeks for a 10–12 chapter book)</w:t>
      </w:r>
    </w:p>
    <w:p>
      <w:pPr>
        <w:pStyle w:val="ListBullet"/>
      </w:pPr>
      <w:r>
        <w:t>Revise chapters based on author feedback — typically two structured revision rounds per chapter before final</w:t>
      </w:r>
    </w:p>
    <w:p>
      <w:pPr>
        <w:spacing w:before="80" w:after="280"/>
      </w:pPr>
      <w:r>
        <w:rPr>
          <w:b/>
          <w:i/>
        </w:rPr>
        <w:t xml:space="preserve">How This Helps: </w:t>
      </w:r>
      <w:r>
        <w:rPr>
          <w:i/>
        </w:rPr>
        <w:t>The hardest part of ghostwriting is voice capture: writing in someone else's voice well enough that they can read it and recognise themselves on the page. This is a craft that takes time to calibrate per author — and it is also the single quality criterion authors care most about. Books written in the author's voice get endorsed by the author; books written in a generic 'thought leadership' voice get rewritten by the author and the project drags on.</w:t>
      </w:r>
    </w:p>
    <w:p>
      <w:pPr>
        <w:pStyle w:val="Heading4"/>
      </w:pPr>
      <w:r>
        <w:t>4. Manuscript Polishing, Editing &amp; Final Preparation</w:t>
      </w:r>
    </w:p>
    <w:p>
      <w:pPr>
        <w:pStyle w:val="ListBullet"/>
      </w:pPr>
      <w:r>
        <w:t>Perform structural editing across the full manuscript — checking pacing, argument flow, and consistency across chapters</w:t>
      </w:r>
    </w:p>
    <w:p>
      <w:pPr>
        <w:pStyle w:val="ListBullet"/>
      </w:pPr>
      <w:r>
        <w:t>Line edit for clarity, rhythm, and reader engagement</w:t>
      </w:r>
    </w:p>
    <w:p>
      <w:pPr>
        <w:pStyle w:val="ListBullet"/>
      </w:pPr>
      <w:r>
        <w:t>Copyedit for grammar, punctuation, citation accuracy, and house style consistency</w:t>
      </w:r>
    </w:p>
    <w:p>
      <w:pPr>
        <w:pStyle w:val="ListBullet"/>
      </w:pPr>
      <w:r>
        <w:t>Prepare endnotes, bibliography, and any required permissions documentation for quoted material</w:t>
      </w:r>
    </w:p>
    <w:p>
      <w:pPr>
        <w:pStyle w:val="ListBullet"/>
      </w:pPr>
      <w:r>
        <w:t>Format the manuscript to the publishing route the author is taking — submission-ready format for traditional publishing or print-ready format for self-publishing</w:t>
      </w:r>
    </w:p>
    <w:p>
      <w:pPr>
        <w:spacing w:before="80" w:after="280"/>
      </w:pPr>
      <w:r>
        <w:rPr>
          <w:b/>
          <w:i/>
        </w:rPr>
        <w:t xml:space="preserve">How This Helps: </w:t>
      </w:r>
      <w:r>
        <w:rPr>
          <w:i/>
        </w:rPr>
        <w:t>A finished manuscript is not the same as a publishable manuscript. Most first drafts need substantial structural work, line-level editing, and final polish before they are ready for an editor's eyes or a self-publishing layout. Investing properly in this phase determines whether the book reads as professionally produced or as obviously self-published — and that difference shows in sales, reviews, and the author's reputation.</w:t>
      </w:r>
    </w:p>
    <w:p>
      <w:pPr>
        <w:pStyle w:val="Heading4"/>
      </w:pPr>
      <w:r>
        <w:t>5. Launch Support — Bio, Author Platform, and Promotional Content</w:t>
      </w:r>
    </w:p>
    <w:p>
      <w:pPr>
        <w:pStyle w:val="ListBullet"/>
      </w:pPr>
      <w:r>
        <w:t>Write the author's bio in multiple lengths (50 words, 150 words, 300 words) — for book jacket, podcast intros, conference speaker bios, and media kits</w:t>
      </w:r>
    </w:p>
    <w:p>
      <w:pPr>
        <w:pStyle w:val="ListBullet"/>
      </w:pPr>
      <w:r>
        <w:t>Develop the book's marketing copy — back cover blurb, jacket flap text, Amazon book page description, and pre-launch landing page</w:t>
      </w:r>
    </w:p>
    <w:p>
      <w:pPr>
        <w:pStyle w:val="ListBullet"/>
      </w:pPr>
      <w:r>
        <w:t>Write the launch email sequence the author sends to their existing list</w:t>
      </w:r>
    </w:p>
    <w:p>
      <w:pPr>
        <w:pStyle w:val="ListBullet"/>
      </w:pPr>
      <w:r>
        <w:t>Produce 20–30 LinkedIn posts and X/Twitter threads drawn from the book — feeding the author's platform building in the months around launch</w:t>
      </w:r>
    </w:p>
    <w:p>
      <w:pPr>
        <w:pStyle w:val="ListBullet"/>
      </w:pPr>
      <w:r>
        <w:t>Develop podcast pitch materials, speaker bureau bios, and conference proposal outlines that use the book to open new platform opportunities</w:t>
      </w:r>
    </w:p>
    <w:p>
      <w:pPr>
        <w:spacing w:before="80" w:after="280"/>
      </w:pPr>
      <w:r>
        <w:rPr>
          <w:b/>
          <w:i/>
        </w:rPr>
        <w:t xml:space="preserve">How This Helps: </w:t>
      </w:r>
      <w:r>
        <w:rPr>
          <w:i/>
        </w:rPr>
        <w:t>A book is not a marketing asset — a book is the beginning of a marketing asset. The author's career trajectory after the book launch depends on how the book gets used: which podcasts they appear on, which conferences invite them, which corporate audiences hire them. Building the launch and platform assets alongside the manuscript is what turns a book into a multi-year career inflection.</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Author has 'started writing the book' three separate times over five years — same notes, same opening chapter, no progress</w:t>
            </w:r>
          </w:p>
        </w:tc>
        <w:tc>
          <w:tcPr>
            <w:tcW w:type="dxa" w:w="4320"/>
          </w:tcPr>
          <w:p>
            <w:r>
              <w:t>Structured ghostwriting engagement — manuscript completed in 6–9 months</w:t>
            </w:r>
          </w:p>
        </w:tc>
      </w:tr>
      <w:tr>
        <w:tc>
          <w:tcPr>
            <w:tcW w:type="dxa" w:w="4320"/>
          </w:tcPr>
          <w:p>
            <w:r>
              <w:t>Author has strong ideas but cannot organise them into a coherent book structure</w:t>
            </w:r>
          </w:p>
        </w:tc>
        <w:tc>
          <w:tcPr>
            <w:tcW w:type="dxa" w:w="4320"/>
          </w:tcPr>
          <w:p>
            <w:r>
              <w:t>Chapter-by-chapter outline developed and approved before drafting begins — structure is settled, drafting is just execution</w:t>
            </w:r>
          </w:p>
        </w:tc>
      </w:tr>
      <w:tr>
        <w:tc>
          <w:tcPr>
            <w:tcW w:type="dxa" w:w="4320"/>
          </w:tcPr>
          <w:p>
            <w:r>
              <w:t>Author writes chapters that sound nothing like how they actually speak — even they can tell the voice is off</w:t>
            </w:r>
          </w:p>
        </w:tc>
        <w:tc>
          <w:tcPr>
            <w:tcW w:type="dxa" w:w="4320"/>
          </w:tcPr>
          <w:p>
            <w:r>
              <w:t>Voice captured carefully through interviews and review cycles — author reads the chapter and recognises themselves</w:t>
            </w:r>
          </w:p>
        </w:tc>
      </w:tr>
      <w:tr>
        <w:tc>
          <w:tcPr>
            <w:tcW w:type="dxa" w:w="4320"/>
          </w:tcPr>
          <w:p>
            <w:r>
              <w:t>Manuscript drafts pile up but never reach 'finished' — author keeps tweaking, never publishes</w:t>
            </w:r>
          </w:p>
        </w:tc>
        <w:tc>
          <w:tcPr>
            <w:tcW w:type="dxa" w:w="4320"/>
          </w:tcPr>
          <w:p>
            <w:r>
              <w:t>Structured revision protocol with clear sign-off points — manuscript reaches a defined 'done' state and ships</w:t>
            </w:r>
          </w:p>
        </w:tc>
      </w:tr>
      <w:tr>
        <w:tc>
          <w:tcPr>
            <w:tcW w:type="dxa" w:w="4320"/>
          </w:tcPr>
          <w:p>
            <w:r>
              <w:t>Book launches quietly and disappears — author cannot capitalise on it for podcasts, speaking, or new business</w:t>
            </w:r>
          </w:p>
        </w:tc>
        <w:tc>
          <w:tcPr>
            <w:tcW w:type="dxa" w:w="4320"/>
          </w:tcPr>
          <w:p>
            <w:r>
              <w:t>Launch and platform assets built alongside the manuscript — book launches into a system that turns it into a multi-year asset</w:t>
            </w:r>
          </w:p>
        </w:tc>
      </w:tr>
      <w:tr>
        <w:tc>
          <w:tcPr>
            <w:tcW w:type="dxa" w:w="4320"/>
          </w:tcPr>
          <w:p>
            <w:r>
              <w:t>Author spends $30,000–$50,000 over multiple years on aborted ghostwriting attempts that never finish</w:t>
            </w:r>
          </w:p>
        </w:tc>
        <w:tc>
          <w:tcPr>
            <w:tcW w:type="dxa" w:w="4320"/>
          </w:tcPr>
          <w:p>
            <w:r>
              <w:t>Single engagement, defined milestones, finished manuscript — the cost makes sense because it actually ships</w:t>
            </w:r>
          </w:p>
        </w:tc>
      </w:tr>
    </w:tbl>
    <w:p/>
    <w:p>
      <w:pPr>
        <w:pStyle w:val="Heading3"/>
      </w:pPr>
      <w:r>
        <w:t>WHO YOU SERVE</w:t>
      </w:r>
    </w:p>
    <w:p>
      <w:r>
        <w:t>Senior executives, partners at professional services firms, established consultants, executive coaches, recognised industry experts, retired senior leaders, and senior professionals with a unique perspective worth a book — based in the US, UK, Canada, and Australia. They have authority, an audience (or the potential for one), and a body of work or experience that could be turned into a book — but they do not have the time, the writing skill, or the structural craft to do it themselves. They are willing to pay USD 25,000–USD 80,000 for a complete, ghostwritten manuscript, plus additional fees for launch support. They engage through Reedsy (the premium curated platform for ghostwriting), Upwork (for volume entry into the market), and personal referral networks.</w:t>
      </w:r>
    </w:p>
    <w:p>
      <w:pPr>
        <w:pStyle w:val="Heading3"/>
      </w:pPr>
      <w:r>
        <w:t>THE GUARANTEE</w:t>
      </w:r>
    </w:p>
    <w:p>
      <w:r>
        <w:rPr>
          <w:b/>
        </w:rPr>
        <w:t>If the manuscript is not delivered at the agreed quality and schedule, I complete the remaining work to the agreed standard at no additional cost. Voice and quality are assessed against samples agreed at the start of the engagement.</w:t>
      </w:r>
    </w:p>
    <w:p>
      <w:r>
        <w:br w:type="page"/>
      </w:r>
    </w:p>
    <w:p>
      <w:pPr>
        <w:pStyle w:val="Heading2"/>
      </w:pPr>
      <w:r>
        <w:t>OFFER 9B — LinkedIn and Thought Leadership Ghostwriting Retainers for Executives, Founders, and Industry Voices (US, UK, Canada, Australia)</w:t>
      </w:r>
    </w:p>
    <w:p>
      <w:pPr>
        <w:spacing w:before="120" w:after="280"/>
      </w:pPr>
      <w:r>
        <w:rPr>
          <w:b/>
          <w:i/>
          <w:sz w:val="23"/>
        </w:rPr>
        <w:t>"I Write LinkedIn Posts, Newsletters, Op-Eds, and Long-Form Thought Leadership Under the Bylines of Executives, Founders, and Senior Professionals — On a Monthly Retainer — So Their Voice Reaches Their Industry Consistently Without Them Spending a Single Hour Writing"</w:t>
      </w:r>
    </w:p>
    <w:p>
      <w:pPr>
        <w:pStyle w:val="Heading3"/>
      </w:pPr>
      <w:r>
        <w:t>WHAT YOU WILL DELIVER</w:t>
      </w:r>
    </w:p>
    <w:p>
      <w:pPr>
        <w:pStyle w:val="Heading4"/>
      </w:pPr>
      <w:r>
        <w:t>1. Voice Discovery &amp; Editorial Strategy</w:t>
      </w:r>
    </w:p>
    <w:p>
      <w:pPr>
        <w:pStyle w:val="ListBullet"/>
      </w:pPr>
      <w:r>
        <w:t>Conduct an in-depth voice intake: interview the executive about their core beliefs, current thinking, contrarian views, recent decisions, and the audience they want to reach</w:t>
      </w:r>
    </w:p>
    <w:p>
      <w:pPr>
        <w:pStyle w:val="ListBullet"/>
      </w:pPr>
      <w:r>
        <w:t>Review their existing written and spoken content (LinkedIn posts, interviews, podcasts, internal memos) to capture their voice precisely</w:t>
      </w:r>
    </w:p>
    <w:p>
      <w:pPr>
        <w:pStyle w:val="ListBullet"/>
      </w:pPr>
      <w:r>
        <w:t>Define an editorial strategy: the 3–5 themes the executive will own publicly over the next 12 months, the audience(s) being addressed, and the desired business outcomes from the content programme</w:t>
      </w:r>
    </w:p>
    <w:p>
      <w:pPr>
        <w:pStyle w:val="ListBullet"/>
      </w:pPr>
      <w:r>
        <w:t>Build a content calendar: cadence of posts, mix of post types (insight, story, contrarian take, lessons learned, industry commentary), and integration with launch events and milestones</w:t>
      </w:r>
    </w:p>
    <w:p>
      <w:pPr>
        <w:spacing w:before="80" w:after="280"/>
      </w:pPr>
      <w:r>
        <w:rPr>
          <w:b/>
          <w:i/>
        </w:rPr>
        <w:t xml:space="preserve">How This Helps: </w:t>
      </w:r>
      <w:r>
        <w:rPr>
          <w:i/>
        </w:rPr>
        <w:t>Most executive LinkedIn presence fails because there is no strategy — just sporadic posts on whatever the executive was thinking that week. A voice and strategy intake done properly delivers content that compounds: each post reinforces a thematic position, builds toward a coherent industry reputation, and signals exactly the kind of executive the audience should perceive.</w:t>
      </w:r>
    </w:p>
    <w:p>
      <w:pPr>
        <w:pStyle w:val="Heading4"/>
      </w:pPr>
      <w:r>
        <w:t>2. LinkedIn Post Writing (4–8 Posts per Month)</w:t>
      </w:r>
    </w:p>
    <w:p>
      <w:pPr>
        <w:pStyle w:val="ListBullet"/>
      </w:pPr>
      <w:r>
        <w:t>Write LinkedIn posts in the executive's voice — drawing from interviews, voice notes, decisions the executive is making this week, and news in their industry</w:t>
      </w:r>
    </w:p>
    <w:p>
      <w:pPr>
        <w:pStyle w:val="ListBullet"/>
      </w:pPr>
      <w:r>
        <w:t>Vary post format intentionally: short-form punchy takes (300 words), story-driven posts (500–800 words), data-and-insight posts, contrarian takes, lessons-learned posts</w:t>
      </w:r>
    </w:p>
    <w:p>
      <w:pPr>
        <w:pStyle w:val="ListBullet"/>
      </w:pPr>
      <w:r>
        <w:t>Deliver posts on a regular publishing schedule (typically 1–2 per week) — far enough ahead that the executive can review and approve in a 15-minute review block</w:t>
      </w:r>
    </w:p>
    <w:p>
      <w:pPr>
        <w:pStyle w:val="ListBullet"/>
      </w:pPr>
      <w:r>
        <w:t>Track engagement metrics and adjust content mix based on what is actually performing for this specific executive's audience</w:t>
      </w:r>
    </w:p>
    <w:p>
      <w:pPr>
        <w:pStyle w:val="ListBullet"/>
      </w:pPr>
      <w:r>
        <w:t>Respond to comments under the executive's name if the engagement includes inbox/comment management</w:t>
      </w:r>
    </w:p>
    <w:p>
      <w:pPr>
        <w:spacing w:before="80" w:after="280"/>
      </w:pPr>
      <w:r>
        <w:rPr>
          <w:b/>
          <w:i/>
        </w:rPr>
        <w:t xml:space="preserve">How This Helps: </w:t>
      </w:r>
      <w:r>
        <w:rPr>
          <w:i/>
        </w:rPr>
        <w:t>Consistency, not virality, is what builds a serious LinkedIn presence. An executive who posts twice a week for 18 months will build more authority than an executive who posts viral content for three months and disappears. The writing skill is in producing posts that sound exactly like the executive even when the executive is travelling, in board meetings, or on a beach — which is most of the time.</w:t>
      </w:r>
    </w:p>
    <w:p>
      <w:pPr>
        <w:pStyle w:val="Heading4"/>
      </w:pPr>
      <w:r>
        <w:t>3. Newsletter, Substack &amp; Long-Form Content (1–2 per Month)</w:t>
      </w:r>
    </w:p>
    <w:p>
      <w:pPr>
        <w:pStyle w:val="ListBullet"/>
      </w:pPr>
      <w:r>
        <w:t>Write the executive's monthly newsletter (or Substack/Beehiiv issue) — 1,500–3,000 words on a focused topic the executive has authority on</w:t>
      </w:r>
    </w:p>
    <w:p>
      <w:pPr>
        <w:pStyle w:val="ListBullet"/>
      </w:pPr>
      <w:r>
        <w:t>Develop pillar long-form content (4,000–6,000 word essays) once per quarter — the kind of definitive piece that gets cited, shared, and quoted for years</w:t>
      </w:r>
    </w:p>
    <w:p>
      <w:pPr>
        <w:pStyle w:val="ListBullet"/>
      </w:pPr>
      <w:r>
        <w:t>Repurpose long-form content into LinkedIn carousels, X threads, podcast talking points, and conference outlines — extracting maximum value from each major piece</w:t>
      </w:r>
    </w:p>
    <w:p>
      <w:pPr>
        <w:pStyle w:val="ListBullet"/>
      </w:pPr>
      <w:r>
        <w:t>Maintain editorial calendar across the executive's owned platforms (newsletter, LinkedIn, X, blog) for thematic consistency</w:t>
      </w:r>
    </w:p>
    <w:p>
      <w:pPr>
        <w:spacing w:before="80" w:after="280"/>
      </w:pPr>
      <w:r>
        <w:rPr>
          <w:b/>
          <w:i/>
        </w:rPr>
        <w:t xml:space="preserve">How This Helps: </w:t>
      </w:r>
      <w:r>
        <w:rPr>
          <w:i/>
        </w:rPr>
        <w:t>Long-form content is where executives build durable authority. LinkedIn posts come and go; newsletters and pillar essays compound. The executives whose names get mentioned at the top of their industry are usually the ones who have a body of long-form work people return to. Building that body of work is the single most valuable thing a ghostwriter can do for an ambitious executive over a 2–3 year horizon.</w:t>
      </w:r>
    </w:p>
    <w:p>
      <w:pPr>
        <w:pStyle w:val="Heading4"/>
      </w:pPr>
      <w:r>
        <w:t>4. Op-Eds, Industry Commentary, and Media Placement</w:t>
      </w:r>
    </w:p>
    <w:p>
      <w:pPr>
        <w:pStyle w:val="ListBullet"/>
      </w:pPr>
      <w:r>
        <w:t>Identify timely opportunities for the executive to comment publicly on industry developments — earnings news, policy changes, market events</w:t>
      </w:r>
    </w:p>
    <w:p>
      <w:pPr>
        <w:pStyle w:val="ListBullet"/>
      </w:pPr>
      <w:r>
        <w:t>Write op-eds and bylined articles for industry publications, business press, and trade media (Forbes Council, HBR Online, Fast Company, sector trade press)</w:t>
      </w:r>
    </w:p>
    <w:p>
      <w:pPr>
        <w:pStyle w:val="ListBullet"/>
      </w:pPr>
      <w:r>
        <w:t>Develop press response statements and prepared talking points for media inquiries</w:t>
      </w:r>
    </w:p>
    <w:p>
      <w:pPr>
        <w:pStyle w:val="ListBullet"/>
      </w:pPr>
      <w:r>
        <w:t>Coordinate placement with PR agencies if the executive has one, or directly pitch where appropriate</w:t>
      </w:r>
    </w:p>
    <w:p>
      <w:pPr>
        <w:spacing w:before="80" w:after="280"/>
      </w:pPr>
      <w:r>
        <w:rPr>
          <w:b/>
          <w:i/>
        </w:rPr>
        <w:t xml:space="preserve">How This Helps: </w:t>
      </w:r>
      <w:r>
        <w:rPr>
          <w:i/>
        </w:rPr>
        <w:t>An op-ed in the right publication can do more for an executive's reputation in a week than a year of LinkedIn posts. The skill is in identifying the moment and producing the piece quickly enough to land while the topic is still alive — a quality of responsiveness most internal communications teams cannot match consistently. A retained ghostwriter who can write a 1,200-word op-ed in 48 hours is a serious competitive asset.</w:t>
      </w:r>
    </w:p>
    <w:p>
      <w:pPr>
        <w:pStyle w:val="Heading4"/>
      </w:pPr>
      <w:r>
        <w:t>5. Internal Communications, Board Letters, and Executive Voice Across All Surfaces</w:t>
      </w:r>
    </w:p>
    <w:p>
      <w:pPr>
        <w:pStyle w:val="ListBullet"/>
      </w:pPr>
      <w:r>
        <w:t>Write the executive's internal all-hands memos, quarterly company updates, and significant internal announcements</w:t>
      </w:r>
    </w:p>
    <w:p>
      <w:pPr>
        <w:pStyle w:val="ListBullet"/>
      </w:pPr>
      <w:r>
        <w:t>Develop board letters and investor updates that match the public voice the executive is building externally</w:t>
      </w:r>
    </w:p>
    <w:p>
      <w:pPr>
        <w:pStyle w:val="ListBullet"/>
      </w:pPr>
      <w:r>
        <w:t>Prepare executive talking points for conference panels, podcast appearances, and earnings calls</w:t>
      </w:r>
    </w:p>
    <w:p>
      <w:pPr>
        <w:pStyle w:val="ListBullet"/>
      </w:pPr>
      <w:r>
        <w:t>Maintain voice consistency across internal and external surfaces — so the executive sounds like the same person whether on stage, in a board meeting, in an all-hands, or on LinkedIn</w:t>
      </w:r>
    </w:p>
    <w:p>
      <w:pPr>
        <w:spacing w:before="80" w:after="280"/>
      </w:pPr>
      <w:r>
        <w:rPr>
          <w:b/>
          <w:i/>
        </w:rPr>
        <w:t xml:space="preserve">How This Helps: </w:t>
      </w:r>
      <w:r>
        <w:rPr>
          <w:i/>
        </w:rPr>
        <w:t>An executive's reputation is built by every surface their voice appears on — not just the public ones. Consistency across internal and external voice is what makes an executive feel like a coherent leader rather than a marketing construct. A retained ghostwriter with access to both surfaces creates the kind of voice consistency that builds long-term credibility internally and externally.</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Executive posts on LinkedIn once a month, sporadically, on whatever they happen to be thinking — no compounding effect</w:t>
            </w:r>
          </w:p>
        </w:tc>
        <w:tc>
          <w:tcPr>
            <w:tcW w:type="dxa" w:w="4320"/>
          </w:tcPr>
          <w:p>
            <w:r>
              <w:t>Consistent 4–8 posts per month over 12+ months — recognised industry voice builds steadily</w:t>
            </w:r>
          </w:p>
        </w:tc>
      </w:tr>
      <w:tr>
        <w:tc>
          <w:tcPr>
            <w:tcW w:type="dxa" w:w="4320"/>
          </w:tcPr>
          <w:p>
            <w:r>
              <w:t>Newsletter or Substack announced and then abandoned after three issues — credibility damaged</w:t>
            </w:r>
          </w:p>
        </w:tc>
        <w:tc>
          <w:tcPr>
            <w:tcW w:type="dxa" w:w="4320"/>
          </w:tcPr>
          <w:p>
            <w:r>
              <w:t>Newsletter published reliably every month — subscriber list compounds, audience trust builds</w:t>
            </w:r>
          </w:p>
        </w:tc>
      </w:tr>
      <w:tr>
        <w:tc>
          <w:tcPr>
            <w:tcW w:type="dxa" w:w="4320"/>
          </w:tcPr>
          <w:p>
            <w:r>
              <w:t>Op-ed opportunities missed because the executive cannot turn around a 1,200-word piece in 48 hours</w:t>
            </w:r>
          </w:p>
        </w:tc>
        <w:tc>
          <w:tcPr>
            <w:tcW w:type="dxa" w:w="4320"/>
          </w:tcPr>
          <w:p>
            <w:r>
              <w:t>Op-eds produced on demand to capture timely opportunities — earned media placements compound</w:t>
            </w:r>
          </w:p>
        </w:tc>
      </w:tr>
      <w:tr>
        <w:tc>
          <w:tcPr>
            <w:tcW w:type="dxa" w:w="4320"/>
          </w:tcPr>
          <w:p>
            <w:r>
              <w:t>Executive's external voice and internal voice sound like two different people — confusion in stakeholders' minds</w:t>
            </w:r>
          </w:p>
        </w:tc>
        <w:tc>
          <w:tcPr>
            <w:tcW w:type="dxa" w:w="4320"/>
          </w:tcPr>
          <w:p>
            <w:r>
              <w:t>Voice consistent across all surfaces — executive comes across as a coherent leader from any angle</w:t>
            </w:r>
          </w:p>
        </w:tc>
      </w:tr>
      <w:tr>
        <w:tc>
          <w:tcPr>
            <w:tcW w:type="dxa" w:w="4320"/>
          </w:tcPr>
          <w:p>
            <w:r>
              <w:t>Executive's PR agency complains about lack of content to pitch — earned media programme stalls</w:t>
            </w:r>
          </w:p>
        </w:tc>
        <w:tc>
          <w:tcPr>
            <w:tcW w:type="dxa" w:w="4320"/>
          </w:tcPr>
          <w:p>
            <w:r>
              <w:t>Steady cadence of bylined content available for PR to leverage — earned media flow continues consistently</w:t>
            </w:r>
          </w:p>
        </w:tc>
      </w:tr>
      <w:tr>
        <w:tc>
          <w:tcPr>
            <w:tcW w:type="dxa" w:w="4320"/>
          </w:tcPr>
          <w:p>
            <w:r>
              <w:t>Executive spends 5–8 hours per week trying to write their own content — and resents it</w:t>
            </w:r>
          </w:p>
        </w:tc>
        <w:tc>
          <w:tcPr>
            <w:tcW w:type="dxa" w:w="4320"/>
          </w:tcPr>
          <w:p>
            <w:r>
              <w:t>Executive spends 30–60 minutes per week reviewing and approving — content runs without them</w:t>
            </w:r>
          </w:p>
        </w:tc>
      </w:tr>
    </w:tbl>
    <w:p/>
    <w:p>
      <w:pPr>
        <w:pStyle w:val="Heading3"/>
      </w:pPr>
      <w:r>
        <w:t>WHO YOU SERVE</w:t>
      </w:r>
    </w:p>
    <w:p>
      <w:r>
        <w:t>Senior executives (C-suite, VPs, partners), founders of growth-stage companies, established consultants, partners at professional services firms, and recognised industry voices — based in the US, UK, Canada, and Australia. They have a target audience that matters to their career or business (investors, customers, talent, peers) and an industry conversation they want to shape. They have no time to write but understand that consistent presence is what builds long-term influence. They engage on monthly retainer (typically USD 2,500–USD 8,000/month depending on scope), with rolling 6 or 12-month commitments. They engage through Upwork, LinkedIn direct outreach, and personal referral.</w:t>
      </w:r>
    </w:p>
    <w:p>
      <w:pPr>
        <w:pStyle w:val="Heading3"/>
      </w:pPr>
      <w:r>
        <w:t>THE GUARANTEE</w:t>
      </w:r>
    </w:p>
    <w:p>
      <w:r>
        <w:rPr>
          <w:b/>
        </w:rPr>
        <w:t>If your content is not delivered to the agreed scope and schedule, I complete the remaining work at no additional cost. Voice and quality are assessed against samples agreed at the start of the engagement.</w:t>
      </w:r>
    </w:p>
    <w:p>
      <w:r>
        <w:br w:type="page"/>
      </w:r>
    </w:p>
    <w:p>
      <w:pPr>
        <w:pStyle w:val="Heading1"/>
      </w:pPr>
      <w:r>
        <w:t>OFFER 10 — SYSTEMATIC LITERATURE REVIEWS FOR INDUSTRY R&amp;D</w:t>
      </w:r>
    </w:p>
    <w:p>
      <w:pPr>
        <w:pStyle w:val="Heading2"/>
      </w:pPr>
      <w:r>
        <w:t>OFFER 10A — Systematic Literature Reviews for US &amp; UK Pharma, Biotech, and CRO Research Teams</w:t>
      </w:r>
    </w:p>
    <w:p>
      <w:pPr>
        <w:spacing w:before="120" w:after="280"/>
      </w:pPr>
      <w:r>
        <w:rPr>
          <w:b/>
          <w:i/>
          <w:sz w:val="23"/>
        </w:rPr>
        <w:t>"I Help Medical Affairs, Clinical Development, and HEOR Teams at Pharma and Biotech Companies Produce Systematic Literature Reviews and Targeted Literature Searches That Meet Regulatory, Publication, and Internal Decision-Support Standards — So Your Evidence Synthesis Stops Bottlenecking Submissions, Manuscripts, and Strategic Decisions"</w:t>
      </w:r>
    </w:p>
    <w:p>
      <w:pPr>
        <w:pStyle w:val="Heading3"/>
      </w:pPr>
      <w:r>
        <w:t>WHAT YOU WILL DELIVER</w:t>
      </w:r>
    </w:p>
    <w:p>
      <w:pPr>
        <w:pStyle w:val="Heading4"/>
      </w:pPr>
      <w:r>
        <w:t>1. Systematic Literature Reviews (Cochrane-Aligned Methodology)</w:t>
      </w:r>
    </w:p>
    <w:p>
      <w:pPr>
        <w:pStyle w:val="ListBullet"/>
      </w:pPr>
      <w:r>
        <w:t>Develop the review protocol: research question (PICO/PICOS framing), inclusion/exclusion criteria, search strategy, study selection process, data extraction template, and risk of bias assessment approach</w:t>
      </w:r>
    </w:p>
    <w:p>
      <w:pPr>
        <w:pStyle w:val="ListBullet"/>
      </w:pPr>
      <w:r>
        <w:t>Execute structured searches across primary databases (PubMed/MEDLINE, Embase, Cochrane Library, ClinicalTrials.gov, ICTRP) using documented search strings with full traceability</w:t>
      </w:r>
    </w:p>
    <w:p>
      <w:pPr>
        <w:pStyle w:val="ListBullet"/>
      </w:pPr>
      <w:r>
        <w:t>Screen identified records (typically thousands) in duplicate at title/abstract and full-text levels — managed in Covidence, DistillerSR, or Rayyan with audit-ready records</w:t>
      </w:r>
    </w:p>
    <w:p>
      <w:pPr>
        <w:pStyle w:val="ListBullet"/>
      </w:pPr>
      <w:r>
        <w:t>Extract data from included studies using a piloted extraction form — outcomes, populations, interventions, study designs, methodological characteristics</w:t>
      </w:r>
    </w:p>
    <w:p>
      <w:pPr>
        <w:pStyle w:val="ListBullet"/>
      </w:pPr>
      <w:r>
        <w:t>Assess risk of bias using appropriate tools (Cochrane RoB 2, ROBINS-I, JBI tools) and document GRADE assessments where applicable</w:t>
      </w:r>
    </w:p>
    <w:p>
      <w:pPr>
        <w:pStyle w:val="ListBullet"/>
      </w:pPr>
      <w:r>
        <w:t>Write the full systematic review report following PRISMA 2020 reporting standards</w:t>
      </w:r>
    </w:p>
    <w:p>
      <w:pPr>
        <w:spacing w:before="80" w:after="280"/>
      </w:pPr>
      <w:r>
        <w:rPr>
          <w:b/>
          <w:i/>
        </w:rPr>
        <w:t xml:space="preserve">How This Helps: </w:t>
      </w:r>
      <w:r>
        <w:rPr>
          <w:i/>
        </w:rPr>
        <w:t>Systematic literature reviews are the foundational evidence synthesis layer for almost every strategic decision in pharma and biotech: development decisions, regulatory submissions, payer dossiers, comparative effectiveness, and label expansions. Yet internal medical affairs teams are chronically overstretched, and high-quality SLR work — done to Cochrane and PRISMA standards — is one of the most consistently outsourced functions in life sciences.</w:t>
      </w:r>
    </w:p>
    <w:p>
      <w:pPr>
        <w:pStyle w:val="Heading4"/>
      </w:pPr>
      <w:r>
        <w:t>2. Targeted Literature Searches &amp; Rapid Evidence Reviews</w:t>
      </w:r>
    </w:p>
    <w:p>
      <w:pPr>
        <w:pStyle w:val="ListBullet"/>
      </w:pPr>
      <w:r>
        <w:t>Conduct focused literature searches answering specific clinical, regulatory, or strategic questions on shorter timelines (2–4 weeks vs. 4–6 months for full SLRs)</w:t>
      </w:r>
    </w:p>
    <w:p>
      <w:pPr>
        <w:pStyle w:val="ListBullet"/>
      </w:pPr>
      <w:r>
        <w:t>Use a rapid review methodology — documented but accepting structured shortcuts (e.g., single screening, limited databases) where decision urgency demands it</w:t>
      </w:r>
    </w:p>
    <w:p>
      <w:pPr>
        <w:pStyle w:val="ListBullet"/>
      </w:pPr>
      <w:r>
        <w:t>Produce concise evidence syntheses (15–30 pages) suitable for internal decision support, advisory boards, KOL briefings, and management presentations</w:t>
      </w:r>
    </w:p>
    <w:p>
      <w:pPr>
        <w:pStyle w:val="ListBullet"/>
      </w:pPr>
      <w:r>
        <w:t>Maintain methodological transparency about which steps were rigorous and which were abbreviated — so internal readers can calibrate the evidence appropriately</w:t>
      </w:r>
    </w:p>
    <w:p>
      <w:pPr>
        <w:spacing w:before="80" w:after="280"/>
      </w:pPr>
      <w:r>
        <w:rPr>
          <w:b/>
          <w:i/>
        </w:rPr>
        <w:t xml:space="preserve">How This Helps: </w:t>
      </w:r>
      <w:r>
        <w:rPr>
          <w:i/>
        </w:rPr>
        <w:t>Not every evidence question warrants a 6-month Cochrane-style review — many need a credible answer in 3 weeks. The skill in rapid evidence reviews is delivering useful answers quickly while remaining honest about methodology shortcuts. This is a service medical affairs and clinical development teams need constantly and rarely have internal capacity to deliver.</w:t>
      </w:r>
    </w:p>
    <w:p>
      <w:pPr>
        <w:pStyle w:val="Heading4"/>
      </w:pPr>
      <w:r>
        <w:t>3. Targeted Literature Reviews for Publications &amp; Manuscripts</w:t>
      </w:r>
    </w:p>
    <w:p>
      <w:pPr>
        <w:pStyle w:val="ListBullet"/>
      </w:pPr>
      <w:r>
        <w:t>Conduct background literature reviews supporting manuscript Introduction and Discussion sections — synthesising the published landscape in the area the manuscript is contributing to</w:t>
      </w:r>
    </w:p>
    <w:p>
      <w:pPr>
        <w:pStyle w:val="ListBullet"/>
      </w:pPr>
      <w:r>
        <w:t>Produce literature update reviews — refreshing previously completed SLRs with the most recent evidence prior to manuscript submission or publication</w:t>
      </w:r>
    </w:p>
    <w:p>
      <w:pPr>
        <w:pStyle w:val="ListBullet"/>
      </w:pPr>
      <w:r>
        <w:t>Develop targeted literature reviews supporting investigator-initiated study (IIS) protocols and grant applications</w:t>
      </w:r>
    </w:p>
    <w:p>
      <w:pPr>
        <w:pStyle w:val="ListBullet"/>
      </w:pPr>
      <w:r>
        <w:t>Format reviews in the citation style and structural conventions of the target publication or use case</w:t>
      </w:r>
    </w:p>
    <w:p>
      <w:pPr>
        <w:spacing w:before="80" w:after="280"/>
      </w:pPr>
      <w:r>
        <w:rPr>
          <w:b/>
          <w:i/>
        </w:rPr>
        <w:t xml:space="preserve">How This Helps: </w:t>
      </w:r>
      <w:r>
        <w:rPr>
          <w:i/>
        </w:rPr>
        <w:t>Manuscript-supporting literature reviews are the unsung infrastructure of medical publishing. Strong manuscripts are built on clear awareness of the published landscape; weak ones reveal gaps in literature search that reviewers will flag. Outsourcing the literature review component of publication work lets internal authors focus on the original research while ensuring the manuscript's literature foundation is solid.</w:t>
      </w:r>
    </w:p>
    <w:p>
      <w:pPr>
        <w:pStyle w:val="Heading4"/>
      </w:pPr>
      <w:r>
        <w:t>4. HEOR &amp; Real-World Evidence Synthesis</w:t>
      </w:r>
    </w:p>
    <w:p>
      <w:pPr>
        <w:pStyle w:val="ListBullet"/>
      </w:pPr>
      <w:r>
        <w:t>Conduct systematic reviews of health economic evaluations, budget impact studies, and cost-effectiveness analyses</w:t>
      </w:r>
    </w:p>
    <w:p>
      <w:pPr>
        <w:pStyle w:val="ListBullet"/>
      </w:pPr>
      <w:r>
        <w:t>Synthesise patient-reported outcome (PRO) evidence supporting label claims, payer submissions, and value dossiers</w:t>
      </w:r>
    </w:p>
    <w:p>
      <w:pPr>
        <w:pStyle w:val="ListBullet"/>
      </w:pPr>
      <w:r>
        <w:t>Review real-world evidence (RWE) studies — registry studies, claims database analyses, electronic health record studies — to support comparative effectiveness narratives</w:t>
      </w:r>
    </w:p>
    <w:p>
      <w:pPr>
        <w:pStyle w:val="ListBullet"/>
      </w:pPr>
      <w:r>
        <w:t>Develop network meta-analyses (NMAs) and indirect treatment comparisons (ITCs) where direct head-to-head evidence is unavailable</w:t>
      </w:r>
    </w:p>
    <w:p>
      <w:pPr>
        <w:spacing w:before="80" w:after="280"/>
      </w:pPr>
      <w:r>
        <w:rPr>
          <w:b/>
          <w:i/>
        </w:rPr>
        <w:t xml:space="preserve">How This Helps: </w:t>
      </w:r>
      <w:r>
        <w:rPr>
          <w:i/>
        </w:rPr>
        <w:t>HEOR teams face the same evidence synthesis pressure as clinical teams but with even narrower in-house specialist capacity. Outsourced HEOR-grade literature reviews and indirect comparison work fill a gap most companies cannot fill internally, particularly for smaller biotechs without dedicated HEOR functions.</w:t>
      </w:r>
    </w:p>
    <w:p>
      <w:pPr>
        <w:pStyle w:val="Heading4"/>
      </w:pPr>
      <w:r>
        <w:t>5. Advisory Board, KOL Briefing, and Internal Decision-Support Documents</w:t>
      </w:r>
    </w:p>
    <w:p>
      <w:pPr>
        <w:pStyle w:val="ListBullet"/>
      </w:pPr>
      <w:r>
        <w:t>Synthesise literature findings into advisory board briefing books — structured for KOL discussion and consensus-building</w:t>
      </w:r>
    </w:p>
    <w:p>
      <w:pPr>
        <w:pStyle w:val="ListBullet"/>
      </w:pPr>
      <w:r>
        <w:t>Develop KOL pre-briefing documents and chair briefings for advisory board meetings</w:t>
      </w:r>
    </w:p>
    <w:p>
      <w:pPr>
        <w:pStyle w:val="ListBullet"/>
      </w:pPr>
      <w:r>
        <w:t>Produce internal evidence summaries supporting investment decisions, partnership discussions, and licensing evaluations</w:t>
      </w:r>
    </w:p>
    <w:p>
      <w:pPr>
        <w:pStyle w:val="ListBullet"/>
      </w:pPr>
      <w:r>
        <w:t>Develop competitive intelligence-style literature reviews comparing the company's evidence portfolio with competitor evidence in the same indication</w:t>
      </w:r>
    </w:p>
    <w:p>
      <w:pPr>
        <w:spacing w:before="80" w:after="280"/>
      </w:pPr>
      <w:r>
        <w:rPr>
          <w:b/>
          <w:i/>
        </w:rPr>
        <w:t xml:space="preserve">How This Helps: </w:t>
      </w:r>
      <w:r>
        <w:rPr>
          <w:i/>
        </w:rPr>
        <w:t>Internal strategic decisions in pharma and biotech are made on the basis of evidence syntheses that the team rarely has time to produce. Outsourced literature work that lands in the hands of medical directors, business development teams, and executive committees with credibility and structure becomes a recurring service — not just a one-time deliverable.</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Medical affairs team takes 6 months to produce internal SLR — clinical development decision delayed</w:t>
            </w:r>
          </w:p>
        </w:tc>
        <w:tc>
          <w:tcPr>
            <w:tcW w:type="dxa" w:w="4320"/>
          </w:tcPr>
          <w:p>
            <w:r>
              <w:t>SLR delivered in 8–12 weeks to PRISMA standard — clinical development decision supported on time</w:t>
            </w:r>
          </w:p>
        </w:tc>
      </w:tr>
      <w:tr>
        <w:tc>
          <w:tcPr>
            <w:tcW w:type="dxa" w:w="4320"/>
          </w:tcPr>
          <w:p>
            <w:r>
              <w:t>HEOR team unable to produce indirect treatment comparison in time for payer submission window — submission delayed</w:t>
            </w:r>
          </w:p>
        </w:tc>
        <w:tc>
          <w:tcPr>
            <w:tcW w:type="dxa" w:w="4320"/>
          </w:tcPr>
          <w:p>
            <w:r>
              <w:t>ITC produced to schedule — payer submission proceeds in the planned cycle</w:t>
            </w:r>
          </w:p>
        </w:tc>
      </w:tr>
      <w:tr>
        <w:tc>
          <w:tcPr>
            <w:tcW w:type="dxa" w:w="4320"/>
          </w:tcPr>
          <w:p>
            <w:r>
              <w:t>Manuscript Introduction and Discussion sections weak on literature context — reviewers flag gaps</w:t>
            </w:r>
          </w:p>
        </w:tc>
        <w:tc>
          <w:tcPr>
            <w:tcW w:type="dxa" w:w="4320"/>
          </w:tcPr>
          <w:p>
            <w:r>
              <w:t>Manuscript supported by rigorous literature review — peer review proceeds without literature-related revisions</w:t>
            </w:r>
          </w:p>
        </w:tc>
      </w:tr>
      <w:tr>
        <w:tc>
          <w:tcPr>
            <w:tcW w:type="dxa" w:w="4320"/>
          </w:tcPr>
          <w:p>
            <w:r>
              <w:t>Advisory board briefing materials assembled by junior staff with thin evidence synthesis — KOLs underwhelmed</w:t>
            </w:r>
          </w:p>
        </w:tc>
        <w:tc>
          <w:tcPr>
            <w:tcW w:type="dxa" w:w="4320"/>
          </w:tcPr>
          <w:p>
            <w:r>
              <w:t>Advisory board briefing books built on rigorous evidence synthesis — KOLs engaged and contribution quality lifts</w:t>
            </w:r>
          </w:p>
        </w:tc>
      </w:tr>
      <w:tr>
        <w:tc>
          <w:tcPr>
            <w:tcW w:type="dxa" w:w="4320"/>
          </w:tcPr>
          <w:p>
            <w:r>
              <w:t>Each new evidence question triggered a 3-month internal scramble — no systematic process</w:t>
            </w:r>
          </w:p>
        </w:tc>
        <w:tc>
          <w:tcPr>
            <w:tcW w:type="dxa" w:w="4320"/>
          </w:tcPr>
          <w:p>
            <w:r>
              <w:t>Recurring relationship with external evidence synthesis writers — questions answered to schedule, capacity scales with need</w:t>
            </w:r>
          </w:p>
        </w:tc>
      </w:tr>
      <w:tr>
        <w:tc>
          <w:tcPr>
            <w:tcW w:type="dxa" w:w="4320"/>
          </w:tcPr>
          <w:p>
            <w:r>
              <w:t>In-house team buried in literature work, not strategic work</w:t>
            </w:r>
          </w:p>
        </w:tc>
        <w:tc>
          <w:tcPr>
            <w:tcW w:type="dxa" w:w="4320"/>
          </w:tcPr>
          <w:p>
            <w:r>
              <w:t>Literature work outsourced — in-house team focused on strategy, KOL relationships, and decision-making</w:t>
            </w:r>
          </w:p>
        </w:tc>
      </w:tr>
    </w:tbl>
    <w:p/>
    <w:p>
      <w:pPr>
        <w:pStyle w:val="Heading3"/>
      </w:pPr>
      <w:r>
        <w:t>WHO YOU SERVE</w:t>
      </w:r>
    </w:p>
    <w:p>
      <w:r>
        <w:t>Medical affairs leads, clinical development directors, HEOR managers, and publications managers at biotech, pharmaceutical, and CRO companies in the US, UK, Switzerland, and Germany. Their evidence synthesis needs span clinical, regulatory, HEOR, and strategic decision-support — and exceed the capacity of their in-house teams during product launches, regulatory submissions, and competitive positioning cycles. They engage external systematic review writers with documented life sciences backgrounds and SLR methodology training at rates of USD 8,000–USD 30,000 per review depending on scope (rapid review vs. full PRISMA-compliant SLR).</w:t>
      </w:r>
    </w:p>
    <w:p>
      <w:pPr>
        <w:pStyle w:val="Heading3"/>
      </w:pPr>
      <w:r>
        <w:t>THE GUARANTEE</w:t>
      </w:r>
    </w:p>
    <w:p>
      <w:r>
        <w:rPr>
          <w:b/>
        </w:rPr>
        <w:t>If your evidence review is not delivered to the agreed scope and schedule, I complete the remaining work at no additional cost.</w:t>
      </w:r>
    </w:p>
    <w:p>
      <w:r>
        <w:br w:type="page"/>
      </w:r>
    </w:p>
    <w:p>
      <w:pPr>
        <w:pStyle w:val="Heading2"/>
      </w:pPr>
      <w:r>
        <w:t>OFFER 10B — Literature Reviews and Clinical Data Synthesis for EU Medical Device Manufacturers (under EU MDR Clinical Evaluation)</w:t>
      </w:r>
    </w:p>
    <w:p>
      <w:pPr>
        <w:spacing w:before="120" w:after="280"/>
      </w:pPr>
      <w:r>
        <w:rPr>
          <w:b/>
          <w:i/>
          <w:sz w:val="23"/>
        </w:rPr>
        <w:t>"I Help Medical Device Regulatory Affairs and Clinical Affairs Teams Produce the Literature Review and Clinical Data Synthesis Sections of Clinical Evaluation Reports (CER) Under EU MDR — Following MEDDEV 2.7/1 Rev 4 Methodology and PRISMA-Aligned Reporting — So Your CER Withstands Notified Body Scrutiny and Your CE Mark Renews on Schedule"</w:t>
      </w:r>
    </w:p>
    <w:p>
      <w:pPr>
        <w:pStyle w:val="Heading3"/>
      </w:pPr>
      <w:r>
        <w:t>WHAT YOU WILL DELIVER</w:t>
      </w:r>
    </w:p>
    <w:p>
      <w:pPr>
        <w:pStyle w:val="Heading4"/>
      </w:pPr>
      <w:r>
        <w:t>1. Clinical Evaluation Literature Search Strategy &amp; Protocol</w:t>
      </w:r>
    </w:p>
    <w:p>
      <w:pPr>
        <w:pStyle w:val="ListBullet"/>
      </w:pPr>
      <w:r>
        <w:t>Develop the literature search protocol within the Clinical Evaluation Plan (CEP) framework — defining the device-under-evaluation, equivalent devices (where applicable), state of the art, and the research questions the literature search must answer</w:t>
      </w:r>
    </w:p>
    <w:p>
      <w:pPr>
        <w:pStyle w:val="ListBullet"/>
      </w:pPr>
      <w:r>
        <w:t>Define PICO/PICOS framing appropriate to medical device evidence (typically population, intervention/device, comparator, outcomes — including safety, performance, and benefit-risk)</w:t>
      </w:r>
    </w:p>
    <w:p>
      <w:pPr>
        <w:pStyle w:val="ListBullet"/>
      </w:pPr>
      <w:r>
        <w:t>Specify the databases to be searched (PubMed, Embase, Cochrane, plus device-specific sources like MAUDE and Eudamed where applicable) and the documented search strings used</w:t>
      </w:r>
    </w:p>
    <w:p>
      <w:pPr>
        <w:pStyle w:val="ListBullet"/>
      </w:pPr>
      <w:r>
        <w:t>Define inclusion and exclusion criteria aligned to MEDDEV 2.7/1 Rev 4 expectations and the specific device type and intended purpose</w:t>
      </w:r>
    </w:p>
    <w:p>
      <w:pPr>
        <w:pStyle w:val="ListBullet"/>
      </w:pPr>
      <w:r>
        <w:t>Document the entire protocol in audit-ready format suitable for notified body review</w:t>
      </w:r>
    </w:p>
    <w:p>
      <w:pPr>
        <w:spacing w:before="80" w:after="280"/>
      </w:pPr>
      <w:r>
        <w:rPr>
          <w:b/>
          <w:i/>
        </w:rPr>
        <w:t xml:space="preserve">How This Helps: </w:t>
      </w:r>
      <w:r>
        <w:rPr>
          <w:i/>
        </w:rPr>
        <w:t>Notified bodies have raised expectations for CER literature methodology dramatically since EU MDR took effect. CERs with weak or undocumented literature search methodology are now routinely flagged as inadequate, leading to CE certification delays. A rigorously documented search protocol is the foundation of every defensible CER.</w:t>
      </w:r>
    </w:p>
    <w:p>
      <w:pPr>
        <w:pStyle w:val="Heading4"/>
      </w:pPr>
      <w:r>
        <w:t>2. Literature Search Execution &amp; Screening</w:t>
      </w:r>
    </w:p>
    <w:p>
      <w:pPr>
        <w:pStyle w:val="ListBullet"/>
      </w:pPr>
      <w:r>
        <w:t>Execute the documented search strategy across all specified databases with full traceability — including dates of search, full search strings, and record counts</w:t>
      </w:r>
    </w:p>
    <w:p>
      <w:pPr>
        <w:pStyle w:val="ListBullet"/>
      </w:pPr>
      <w:r>
        <w:t>Conduct title/abstract screening followed by full-text review — managed in Covidence, Rayyan, or equivalent SLR management software with audit-ready records</w:t>
      </w:r>
    </w:p>
    <w:p>
      <w:pPr>
        <w:pStyle w:val="ListBullet"/>
      </w:pPr>
      <w:r>
        <w:t>Document screening decisions for every excluded full-text record — exclusion reason recorded and traceable</w:t>
      </w:r>
    </w:p>
    <w:p>
      <w:pPr>
        <w:pStyle w:val="ListBullet"/>
      </w:pPr>
      <w:r>
        <w:t>Generate PRISMA flow diagrams showing the full search-to-inclusion process</w:t>
      </w:r>
    </w:p>
    <w:p>
      <w:pPr>
        <w:pStyle w:val="ListBullet"/>
      </w:pPr>
      <w:r>
        <w:t>Conduct hand-searches of key journals, conference proceedings, and regulatory databases supplementing database searches</w:t>
      </w:r>
    </w:p>
    <w:p>
      <w:pPr>
        <w:spacing w:before="80" w:after="280"/>
      </w:pPr>
      <w:r>
        <w:rPr>
          <w:b/>
          <w:i/>
        </w:rPr>
        <w:t xml:space="preserve">How This Helps: </w:t>
      </w:r>
      <w:r>
        <w:rPr>
          <w:i/>
        </w:rPr>
        <w:t>Notified body auditors increasingly trace literature search decisions back to specific search records and screening logs. CERs that cannot demonstrate this traceability are flagged for findings. Modern CER literature work requires SLR-grade documentation, not informal narrative reviews.</w:t>
      </w:r>
    </w:p>
    <w:p>
      <w:pPr>
        <w:pStyle w:val="Heading4"/>
      </w:pPr>
      <w:r>
        <w:t>3. Critical Appraisal &amp; Evidence Synthesis</w:t>
      </w:r>
    </w:p>
    <w:p>
      <w:pPr>
        <w:pStyle w:val="ListBullet"/>
      </w:pPr>
      <w:r>
        <w:t>Critically appraise included clinical evidence using a documented appraisal framework appropriate to medical devices (e.g., based on MEDDEV 2.7/1 Rev 4 guidance combined with established appraisal tools)</w:t>
      </w:r>
    </w:p>
    <w:p>
      <w:pPr>
        <w:pStyle w:val="ListBullet"/>
      </w:pPr>
      <w:r>
        <w:t>Document appraisal decisions for every included study — methodological quality, relevance to the device-under-evaluation, and weight assigned in the overall synthesis</w:t>
      </w:r>
    </w:p>
    <w:p>
      <w:pPr>
        <w:pStyle w:val="ListBullet"/>
      </w:pPr>
      <w:r>
        <w:t>Synthesise evidence on safety, performance, and benefit-risk — addressing each in dedicated sections of the CER</w:t>
      </w:r>
    </w:p>
    <w:p>
      <w:pPr>
        <w:pStyle w:val="ListBullet"/>
      </w:pPr>
      <w:r>
        <w:t>Where equivalence claims are made, document the literature-based justification of equivalence (technical, biological, clinical) to the rigour MDR Annex XIV requires</w:t>
      </w:r>
    </w:p>
    <w:p>
      <w:pPr>
        <w:pStyle w:val="ListBullet"/>
      </w:pPr>
      <w:r>
        <w:t>Identify gaps in the evidence base — and document how those gaps are addressed (e.g., through post-market clinical follow-up, ongoing investigations)</w:t>
      </w:r>
    </w:p>
    <w:p>
      <w:pPr>
        <w:spacing w:before="80" w:after="280"/>
      </w:pPr>
      <w:r>
        <w:rPr>
          <w:b/>
          <w:i/>
        </w:rPr>
        <w:t xml:space="preserve">How This Helps: </w:t>
      </w:r>
      <w:r>
        <w:rPr>
          <w:i/>
        </w:rPr>
        <w:t>Evidence appraisal is where most CERs are won or lost in notified body review. Auditors scrutinise the appraisal logic to verify that the conclusions in the CER are actually supported by the appraised evidence. Rigorous, documented appraisal is what differentiates a CER that closes review cleanly from one that triggers months of back-and-forth findings and remediation.</w:t>
      </w:r>
    </w:p>
    <w:p>
      <w:pPr>
        <w:pStyle w:val="Heading4"/>
      </w:pPr>
      <w:r>
        <w:t>4. State-of-the-Art Analysis &amp; Equivalence Assessment</w:t>
      </w:r>
    </w:p>
    <w:p>
      <w:pPr>
        <w:pStyle w:val="ListBullet"/>
      </w:pPr>
      <w:r>
        <w:t>Develop the state-of-the-art analysis section — documenting current clinical practice in the indication and the comparative landscape of devices/treatments available</w:t>
      </w:r>
    </w:p>
    <w:p>
      <w:pPr>
        <w:pStyle w:val="ListBullet"/>
      </w:pPr>
      <w:r>
        <w:t>Develop equivalence assessments where the CER relies on data from claimed equivalent devices — covering technical, biological, and clinical equivalence per MDR Annex XIV requirements</w:t>
      </w:r>
    </w:p>
    <w:p>
      <w:pPr>
        <w:pStyle w:val="ListBullet"/>
      </w:pPr>
      <w:r>
        <w:t>Document the limitations of equivalence claims and any residual evidence requirements they generate</w:t>
      </w:r>
    </w:p>
    <w:p>
      <w:pPr>
        <w:pStyle w:val="ListBullet"/>
      </w:pPr>
      <w:r>
        <w:t>Maintain the state-of-the-art analysis as a living document updated as the field evolves</w:t>
      </w:r>
    </w:p>
    <w:p>
      <w:pPr>
        <w:spacing w:before="80" w:after="280"/>
      </w:pPr>
      <w:r>
        <w:rPr>
          <w:b/>
          <w:i/>
        </w:rPr>
        <w:t xml:space="preserve">How This Helps: </w:t>
      </w:r>
      <w:r>
        <w:rPr>
          <w:i/>
        </w:rPr>
        <w:t>MDR has tightened equivalence rules substantially — claimed equivalent devices now require contractual access to the equivalent device's technical documentation, which most manufacturers do not have. CERs that rely on equivalence claims that no longer hold under MDR are a leading cause of certificate suspension. Rigorous equivalence assessment work protects the CE mark.</w:t>
      </w:r>
    </w:p>
    <w:p>
      <w:pPr>
        <w:pStyle w:val="Heading4"/>
      </w:pPr>
      <w:r>
        <w:t>5. CER Literature Section Drafting &amp; Maintenance</w:t>
      </w:r>
    </w:p>
    <w:p>
      <w:pPr>
        <w:pStyle w:val="ListBullet"/>
      </w:pPr>
      <w:r>
        <w:t>Write the literature review sections of the CER following MEDDEV 2.7/1 Rev 4 structure</w:t>
      </w:r>
    </w:p>
    <w:p>
      <w:pPr>
        <w:pStyle w:val="ListBullet"/>
      </w:pPr>
      <w:r>
        <w:t>Integrate literature findings with post-market surveillance data, clinical investigation data (where available), and risk management outputs</w:t>
      </w:r>
    </w:p>
    <w:p>
      <w:pPr>
        <w:pStyle w:val="ListBullet"/>
      </w:pPr>
      <w:r>
        <w:t>Maintain the literature section as a living document — supporting periodic updates as new evidence emerges through ongoing post-market literature surveillance</w:t>
      </w:r>
    </w:p>
    <w:p>
      <w:pPr>
        <w:pStyle w:val="ListBullet"/>
      </w:pPr>
      <w:r>
        <w:t>Prepare literature surveillance reports that update the CER's evidence base on a defined cadence (typically annually or per the device's risk class)</w:t>
      </w:r>
    </w:p>
    <w:p>
      <w:pPr>
        <w:pStyle w:val="ListBullet"/>
      </w:pPr>
      <w:r>
        <w:t>Document all updates with full version control and change history</w:t>
      </w:r>
    </w:p>
    <w:p>
      <w:pPr>
        <w:spacing w:before="80" w:after="280"/>
      </w:pPr>
      <w:r>
        <w:rPr>
          <w:b/>
          <w:i/>
        </w:rPr>
        <w:t xml:space="preserve">How This Helps: </w:t>
      </w:r>
      <w:r>
        <w:rPr>
          <w:i/>
        </w:rPr>
        <w:t>EU MDR treats the CER as a living document, not a one-time deliverable. Manufacturers that establish ongoing literature surveillance and CER update processes maintain their CE marks smoothly; those that do not face renewal challenges. Building this ongoing process — rather than just delivering a one-time CER — is the most valuable thing an external regulatory writer can do for a medical device manufacturer.</w:t>
      </w:r>
    </w:p>
    <w:p>
      <w:pPr>
        <w:pStyle w:val="Heading3"/>
      </w:pPr>
      <w:r>
        <w:t>WHAT LIFE LOOKS LIKE BEFORE vs. AFTER</w:t>
      </w:r>
    </w:p>
    <w:tbl>
      <w:tblPr>
        <w:tblStyle w:val="TableGrid"/>
        <w:tblW w:type="auto" w:w="0"/>
        <w:tblLook w:firstColumn="1" w:firstRow="1" w:lastColumn="0" w:lastRow="0" w:noHBand="0" w:noVBand="1" w:val="04A0"/>
      </w:tblPr>
      <w:tblGrid>
        <w:gridCol w:w="4320"/>
        <w:gridCol w:w="4320"/>
      </w:tblGrid>
      <w:tr>
        <w:tc>
          <w:tcPr>
            <w:tcW w:type="dxa" w:w="4320"/>
          </w:tcPr>
          <w:p>
            <w:r>
              <w:rPr>
                <w:b/>
              </w:rPr>
              <w:t>BEFORE Working With You</w:t>
            </w:r>
          </w:p>
        </w:tc>
        <w:tc>
          <w:tcPr>
            <w:tcW w:type="dxa" w:w="4320"/>
          </w:tcPr>
          <w:p>
            <w:r>
              <w:rPr>
                <w:b/>
              </w:rPr>
              <w:t>AFTER Working With You</w:t>
            </w:r>
          </w:p>
        </w:tc>
      </w:tr>
      <w:tr>
        <w:tc>
          <w:tcPr>
            <w:tcW w:type="dxa" w:w="4320"/>
          </w:tcPr>
          <w:p>
            <w:r>
              <w:t>CER literature search undocumented or thin — notified body flags inadequate methodology</w:t>
            </w:r>
          </w:p>
        </w:tc>
        <w:tc>
          <w:tcPr>
            <w:tcW w:type="dxa" w:w="4320"/>
          </w:tcPr>
          <w:p>
            <w:r>
              <w:t>Literature search documented to PRISMA standard — methodology defensible in notified body review</w:t>
            </w:r>
          </w:p>
        </w:tc>
      </w:tr>
      <w:tr>
        <w:tc>
          <w:tcPr>
            <w:tcW w:type="dxa" w:w="4320"/>
          </w:tcPr>
          <w:p>
            <w:r>
              <w:t>Equivalence claim made without robust evidence — MDR's stricter equivalence rules trigger CE certificate suspension</w:t>
            </w:r>
          </w:p>
        </w:tc>
        <w:tc>
          <w:tcPr>
            <w:tcW w:type="dxa" w:w="4320"/>
          </w:tcPr>
          <w:p>
            <w:r>
              <w:t>Equivalence assessment documented to MDR Annex XIV standard — claim either defensible or revised before submission</w:t>
            </w:r>
          </w:p>
        </w:tc>
      </w:tr>
      <w:tr>
        <w:tc>
          <w:tcPr>
            <w:tcW w:type="dxa" w:w="4320"/>
          </w:tcPr>
          <w:p>
            <w:r>
              <w:t>CER updated once every three years — falls out of date and triggers findings at renewal</w:t>
            </w:r>
          </w:p>
        </w:tc>
        <w:tc>
          <w:tcPr>
            <w:tcW w:type="dxa" w:w="4320"/>
          </w:tcPr>
          <w:p>
            <w:r>
              <w:t>CER maintained as a living document with annual literature surveillance updates — renewals proceed without findings</w:t>
            </w:r>
          </w:p>
        </w:tc>
      </w:tr>
      <w:tr>
        <w:tc>
          <w:tcPr>
            <w:tcW w:type="dxa" w:w="4320"/>
          </w:tcPr>
          <w:p>
            <w:r>
              <w:t>Internal engineering team trying to do CER literature work — slow, inconsistent, not audit-ready</w:t>
            </w:r>
          </w:p>
        </w:tc>
        <w:tc>
          <w:tcPr>
            <w:tcW w:type="dxa" w:w="4320"/>
          </w:tcPr>
          <w:p>
            <w:r>
              <w:t>External specialist writers handle CER literature — engineers refocus on product development</w:t>
            </w:r>
          </w:p>
        </w:tc>
      </w:tr>
      <w:tr>
        <w:tc>
          <w:tcPr>
            <w:tcW w:type="dxa" w:w="4320"/>
          </w:tcPr>
          <w:p>
            <w:r>
              <w:t>PMS and CER processes disconnected — post-market signals fail to feed back into clinical evaluation</w:t>
            </w:r>
          </w:p>
        </w:tc>
        <w:tc>
          <w:tcPr>
            <w:tcW w:type="dxa" w:w="4320"/>
          </w:tcPr>
          <w:p>
            <w:r>
              <w:t>PMS-CER feedback loop documented — evidence flows from post-market into CER updates and benefit-risk reassessment</w:t>
            </w:r>
          </w:p>
        </w:tc>
      </w:tr>
      <w:tr>
        <w:tc>
          <w:tcPr>
            <w:tcW w:type="dxa" w:w="4320"/>
          </w:tcPr>
          <w:p>
            <w:r>
              <w:t>Notified body review takes 18 months with multiple rounds of findings</w:t>
            </w:r>
          </w:p>
        </w:tc>
        <w:tc>
          <w:tcPr>
            <w:tcW w:type="dxa" w:w="4320"/>
          </w:tcPr>
          <w:p>
            <w:r>
              <w:t>Notified body review proceeds cleanly with first-submission CER defensible — certification timelines protected</w:t>
            </w:r>
          </w:p>
        </w:tc>
      </w:tr>
    </w:tbl>
    <w:p/>
    <w:p>
      <w:pPr>
        <w:pStyle w:val="Heading3"/>
      </w:pPr>
      <w:r>
        <w:t>WHO YOU SERVE</w:t>
      </w:r>
    </w:p>
    <w:p>
      <w:r>
        <w:t>Regulatory affairs managers, clinical affairs leads, and small-company founders at medical device manufacturers in Germany, Switzerland, the Netherlands, France, Italy, Spain, the UK, Ireland, and Israel — including Class IIa, IIb, and Class III device makers operating across orthopaedics, cardiovascular, neurology, diagnostics, in-vitro devices, surgical robotics, and digital health. They engage external specialist writers for CER literature work (typically EUR 6,000–EUR 20,000 per CER literature deliverable, depending on device complexity and equivalence claims) and for ongoing literature surveillance support. They strongly prefer writers with documented medical/scientific background and demonstrated MDR/CER experience.</w:t>
      </w:r>
    </w:p>
    <w:p>
      <w:pPr>
        <w:pStyle w:val="Heading3"/>
      </w:pPr>
      <w:r>
        <w:t>THE GUARANTEE</w:t>
      </w:r>
    </w:p>
    <w:p>
      <w:r>
        <w:rPr>
          <w:b/>
        </w:rPr>
        <w:t>If your CER literature deliverable is not delivered to the agreed scope and schedule, I complete the remaining work at no additional cost.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