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OFFER BANK — ACADEMIC WRITING BOOTCAMP</w:t>
      </w:r>
    </w:p>
    <w:p>
      <w:pPr>
        <w:pStyle w:val="Heading2"/>
        <w:jc w:val="center"/>
      </w:pPr>
      <w:r>
        <w:t>SkillArbitrage | 8th Batch</w:t>
      </w:r>
    </w:p>
    <w:p/>
    <w:p>
      <w:r>
        <w:rPr>
          <w:b/>
        </w:rPr>
        <w:t xml:space="preserve">How to use this Offer Bank: </w:t>
      </w:r>
      <w:r>
        <w:t>Each offer is a ready-to-customise service pitch. Pick the offer(s) that match your background and the type of client you want to approach. Personalise the headline and deliverables to match what you can actually deliver. Start with 2–3 offers. As you build your track record, expand to more.</w:t>
      </w:r>
    </w:p>
    <w:p>
      <w:r>
        <w:br w:type="page"/>
      </w:r>
    </w:p>
    <w:p>
      <w:pPr>
        <w:pStyle w:val="Heading1"/>
      </w:pPr>
      <w:r>
        <w:t>OFFER 1 — JOURNAL MANUSCRIPT EDITING &amp; SUBMISSION SUPPORT</w:t>
      </w:r>
    </w:p>
    <w:p>
      <w:pPr>
        <w:pStyle w:val="Heading2"/>
      </w:pPr>
      <w:r>
        <w:t>OFFER 1A — For Chinese, Korean &amp; Japanese Researchers Publishing in International English-Language Journals</w:t>
      </w:r>
    </w:p>
    <w:p>
      <w:pPr>
        <w:spacing w:before="120" w:after="280"/>
      </w:pPr>
      <w:r>
        <w:rPr>
          <w:b/>
          <w:i/>
          <w:sz w:val="23"/>
        </w:rPr>
        <w:t>“I Help Chinese, Korean, and Japanese Researchers Turn Rejected or Stalled Manuscripts Into Submission-Ready Papers That International Journals Accept — If Your Manuscript Is Not Submission-Ready in 14 Days, You Get the Next Edit Free”</w:t>
      </w:r>
    </w:p>
    <w:p>
      <w:pPr>
        <w:pStyle w:val="Heading3"/>
      </w:pPr>
      <w:r>
        <w:t>WHAT YOU WILL DELIVER</w:t>
      </w:r>
    </w:p>
    <w:p>
      <w:pPr>
        <w:pStyle w:val="Heading4"/>
      </w:pPr>
      <w:r>
        <w:t>1. Substantive Manuscript Editing (Language + Argument + Structure)</w:t>
      </w:r>
    </w:p>
    <w:p>
      <w:pPr>
        <w:pStyle w:val="ListBullet"/>
      </w:pPr>
      <w:r>
        <w:t>Read the complete manuscript end-to-end and provide a top-level structural assessment: does the paper tell a clear scientific story? Is the argument logical? Does the conclusion actually follow from the results?</w:t>
      </w:r>
    </w:p>
    <w:p>
      <w:pPr>
        <w:pStyle w:val="ListBullet"/>
      </w:pPr>
      <w:r>
        <w:t>Restructure sections where necessary to improve clarity and logical flow — ensuring the Introduction motivates the study, the Methods are reproducible, the Results are clearly presented, and the Discussion interprets findings without overstating them</w:t>
      </w:r>
    </w:p>
    <w:p>
      <w:pPr>
        <w:pStyle w:val="ListBullet"/>
      </w:pPr>
      <w:r>
        <w:t>Rewrite for clarity and precision: eliminate ambiguous phrasing typical of non-native English drafts, reduce sentence complexity, correct English usage and tense consistency, and ensure every technical term is used consistently throughout</w:t>
      </w:r>
    </w:p>
    <w:p>
      <w:pPr>
        <w:pStyle w:val="ListBullet"/>
      </w:pPr>
      <w:r>
        <w:t>Strengthen the Discussion section: identify where the interpretation is too conservative (underselling the findings) or too speculative (overstating them) — and rewrite to match what reviewers expect</w:t>
      </w:r>
    </w:p>
    <w:p>
      <w:pPr>
        <w:pStyle w:val="ListBullet"/>
      </w:pPr>
      <w:r>
        <w:t>Deliver two clean versions: a tracked changes version showing every edit, and a clean version ready to send to co-authors</w:t>
      </w:r>
    </w:p>
    <w:p>
      <w:pPr>
        <w:spacing w:before="80" w:after="280"/>
      </w:pPr>
      <w:r>
        <w:rPr>
          <w:b/>
          <w:i/>
        </w:rPr>
        <w:t xml:space="preserve">How This Helps: </w:t>
      </w:r>
      <w:r>
        <w:rPr>
          <w:i/>
        </w:rPr>
        <w:t>Non-native English-speaking researchers consistently lose out in peer review not because their science is weaker but because their manuscripts read as foreign documents. Reviewers consciously or unconsciously penalise papers that require extra effort to read. A 2024 study of submissions to top-tier international journals showed that papers from non-native English authors are rejected at the language stage at nearly twice the rate of native-English submissions — even when the underlying research is rated equivalent. When you deliver a manuscript that reads cleanly in English, the science speaks for itself.</w:t>
      </w:r>
    </w:p>
    <w:p>
      <w:pPr>
        <w:pStyle w:val="Heading4"/>
      </w:pPr>
      <w:r>
        <w:t>2. Journal Selection &amp; Submission Strategy</w:t>
      </w:r>
    </w:p>
    <w:p>
      <w:pPr>
        <w:pStyle w:val="ListBullet"/>
      </w:pPr>
      <w:r>
        <w:t>Analyse the manuscript’s scope, methodology, novelty, and target audience to identify the 5–8 most appropriate journals — balancing ambition with realistic likelihood of acceptance</w:t>
      </w:r>
    </w:p>
    <w:p>
      <w:pPr>
        <w:pStyle w:val="ListBullet"/>
      </w:pPr>
      <w:r>
        <w:t>Avoid predatory and low-quality journals by cross-checking each candidate against the DOAJ and Scopus/Web of Science indexed lists</w:t>
      </w:r>
    </w:p>
    <w:p>
      <w:pPr>
        <w:pStyle w:val="ListBullet"/>
      </w:pPr>
      <w:r>
        <w:t>Research each candidate journal: acceptance rate, average review timeline, editorial focus, and recent papers on similar topics — so the submission matches what the editor is actually publishing right now</w:t>
      </w:r>
    </w:p>
    <w:p>
      <w:pPr>
        <w:pStyle w:val="ListBullet"/>
      </w:pPr>
      <w:r>
        <w:t>Prepare a prioritised submission sequence: which journal to try first, which to escalate to if rejected, and which to fall back to — so no time is wasted reformatting after each rejection</w:t>
      </w:r>
    </w:p>
    <w:p>
      <w:pPr>
        <w:pStyle w:val="ListBullet"/>
      </w:pPr>
      <w:r>
        <w:t>Format the manuscript completely for the first target journal: stylesheet compliance, citation format, reference list, figure and table specs, word count, and supplementary file packaging</w:t>
      </w:r>
    </w:p>
    <w:p>
      <w:pPr>
        <w:spacing w:before="80" w:after="280"/>
      </w:pPr>
      <w:r>
        <w:rPr>
          <w:b/>
          <w:i/>
        </w:rPr>
        <w:t xml:space="preserve">How This Helps: </w:t>
      </w:r>
      <w:r>
        <w:rPr>
          <w:i/>
        </w:rPr>
        <w:t>Most researchers submit to the wrong journal first — either too prestigious or too modest. Each wrong submission costs 8–12 weeks of waiting plus another week of reformatting before the next attempt. When you do the journal matching and formatting systematically upfront, the researcher’s manuscript is in front of the right editor on the first attempt, and ready to re-submit elsewhere in 24 hours if needed.</w:t>
      </w:r>
    </w:p>
    <w:p>
      <w:pPr>
        <w:pStyle w:val="Heading4"/>
      </w:pPr>
      <w:r>
        <w:t>3. Cover Letter &amp; Submission Package Preparation</w:t>
      </w:r>
    </w:p>
    <w:p>
      <w:pPr>
        <w:pStyle w:val="ListBullet"/>
      </w:pPr>
      <w:r>
        <w:t>Write a personalised cover letter to the journal editor — not a generic template — explaining why this manuscript fits the journal’s specific scope, what is novel about the findings, and why it deserves the editor’s attention</w:t>
      </w:r>
    </w:p>
    <w:p>
      <w:pPr>
        <w:pStyle w:val="ListBullet"/>
      </w:pPr>
      <w:r>
        <w:t>Prepare all required submission attachments: title page with affiliations, conflict of interest declarations, author contribution statements, funding declarations, ethics approval references, and data availability statements</w:t>
      </w:r>
    </w:p>
    <w:p>
      <w:pPr>
        <w:pStyle w:val="ListBullet"/>
      </w:pPr>
      <w:r>
        <w:t>Draft recommended reviewer suggestions (and reviewers to exclude) per the journal’s submission requirements — based on who has recently published on adjacent topics</w:t>
      </w:r>
    </w:p>
    <w:p>
      <w:pPr>
        <w:pStyle w:val="ListBullet"/>
      </w:pPr>
      <w:r>
        <w:t>Compile graphical abstract instructions, highlights, and the lay summary if the target journal requires them</w:t>
      </w:r>
    </w:p>
    <w:p>
      <w:pPr>
        <w:spacing w:before="80" w:after="280"/>
      </w:pPr>
      <w:r>
        <w:rPr>
          <w:b/>
          <w:i/>
        </w:rPr>
        <w:t xml:space="preserve">How This Helps: </w:t>
      </w:r>
      <w:r>
        <w:rPr>
          <w:i/>
        </w:rPr>
        <w:t>A weak cover letter is one of the top reasons editors reject manuscripts at the desk stage without sending them to peer review. Editors read the cover letter first — if it does not make a compelling case for why this manuscript matters to their journal in 200 words, the manuscript may never reach a reviewer. A strong cover letter pre-frames the editor’s first impression.</w:t>
      </w:r>
    </w:p>
    <w:p>
      <w:pPr>
        <w:pStyle w:val="Heading4"/>
      </w:pPr>
      <w:r>
        <w:t>4. Response to Reviewers &amp; Resubmission Support</w:t>
      </w:r>
    </w:p>
    <w:p>
      <w:pPr>
        <w:pStyle w:val="ListBullet"/>
      </w:pPr>
      <w:r>
        <w:t>After peer review comes back, read all reviewer comments alongside the original manuscript and the editor’s decision letter</w:t>
      </w:r>
    </w:p>
    <w:p>
      <w:pPr>
        <w:pStyle w:val="ListBullet"/>
      </w:pPr>
      <w:r>
        <w:t>Prepare a point-by-point response document — quoting each reviewer comment, explaining clearly how the manuscript was revised to address it, and indicating the exact page and line where the change was made</w:t>
      </w:r>
    </w:p>
    <w:p>
      <w:pPr>
        <w:pStyle w:val="ListBullet"/>
      </w:pPr>
      <w:r>
        <w:t>For comments the researcher cannot or chooses not to address, draft a respectful, evidence-backed rebuttal explaining why the original approach is sound</w:t>
      </w:r>
    </w:p>
    <w:p>
      <w:pPr>
        <w:pStyle w:val="ListBullet"/>
      </w:pPr>
      <w:r>
        <w:t>Revise the manuscript to incorporate all agreed-upon changes — maintaining language consistency with the original edited version</w:t>
      </w:r>
    </w:p>
    <w:p>
      <w:pPr>
        <w:pStyle w:val="ListBullet"/>
      </w:pPr>
      <w:r>
        <w:t>Prepare the resubmission cover letter to the editor: summarising the key revisions and inviting re-review</w:t>
      </w:r>
    </w:p>
    <w:p>
      <w:pPr>
        <w:spacing w:before="80" w:after="280"/>
      </w:pPr>
      <w:r>
        <w:rPr>
          <w:b/>
          <w:i/>
        </w:rPr>
        <w:t xml:space="preserve">How This Helps: </w:t>
      </w:r>
      <w:r>
        <w:rPr>
          <w:i/>
        </w:rPr>
        <w:t>This is where most researchers lose papers they had already nearly won. Reviewer comments can be 30–60 individual items across two or three reviewers. Responding in the precise, respectful, evidence-based style that journals expect is a separate skill from writing the paper itself. A poor response triggers a second round of major revisions — or outright rejection — even after a favourable first round.</w:t>
      </w:r>
    </w:p>
    <w:p>
      <w:pPr>
        <w:pStyle w:val="Heading4"/>
      </w:pPr>
      <w:r>
        <w:t>5. Plagiarism &amp; Pre-Submission Quality Check</w:t>
      </w:r>
    </w:p>
    <w:p>
      <w:pPr>
        <w:pStyle w:val="ListBullet"/>
      </w:pPr>
      <w:r>
        <w:t>Run the manuscript through iThenticate or Turnitin to check for unintentional overlap with previously published work — including the researcher’s own previous papers</w:t>
      </w:r>
    </w:p>
    <w:p>
      <w:pPr>
        <w:pStyle w:val="ListBullet"/>
      </w:pPr>
      <w:r>
        <w:t>Verify all in-text citations actually appear in the reference list, and that every reference in the list is cited in the text</w:t>
      </w:r>
    </w:p>
    <w:p>
      <w:pPr>
        <w:pStyle w:val="ListBullet"/>
      </w:pPr>
      <w:r>
        <w:t>Check every figure caption, table title, and equation for numbering consistency</w:t>
      </w:r>
    </w:p>
    <w:p>
      <w:pPr>
        <w:pStyle w:val="ListBullet"/>
      </w:pPr>
      <w:r>
        <w:t>Confirm all journal-specific declarations are completed correctly</w:t>
      </w:r>
    </w:p>
    <w:p>
      <w:pPr>
        <w:pStyle w:val="ListBullet"/>
      </w:pPr>
      <w:r>
        <w:t>Deliver a final pre-submission checklist confirming the manuscript meets every technical requirement of the target journal</w:t>
      </w:r>
    </w:p>
    <w:p>
      <w:pPr>
        <w:spacing w:before="80" w:after="280"/>
      </w:pPr>
      <w:r>
        <w:rPr>
          <w:b/>
          <w:i/>
        </w:rPr>
        <w:t xml:space="preserve">How This Helps: </w:t>
      </w:r>
      <w:r>
        <w:rPr>
          <w:i/>
        </w:rPr>
        <w:t>Modern journals run automated plagiarism checks on every submission. Unintentional overlap — even from the researcher’s own prior papers — triggers immediate rejection and in some cases a flag on the researcher’s submission history. A clean pre-submission check eliminates this risk entirely.</w:t>
      </w:r>
    </w:p>
    <w:p>
      <w:pPr>
        <w:pStyle w:val="Heading3"/>
      </w:pPr>
      <w:r>
        <w:t>WHAT LIFE LOOKS LIKE BEFORE vs. AFTER</w:t>
      </w:r>
    </w:p>
    <w:tbl>
      <w:tblPr>
        <w:tblStyle w:val="TableGrid"/>
        <w:tblW w:type="auto" w:w="0"/>
        <w:tblLook w:firstColumn="1" w:firstRow="1" w:lastColumn="0" w:lastRow="0" w:noHBand="0" w:noVBand="1" w:val="04A0"/>
      </w:tblPr>
      <w:tblGrid>
        <w:gridCol w:w="4320"/>
        <w:gridCol w:w="4320"/>
      </w:tblGrid>
      <w:tr>
        <w:tc>
          <w:tcPr>
            <w:tcW w:type="dxa" w:w="4320"/>
          </w:tcPr>
          <w:p>
            <w:r>
              <w:rPr>
                <w:b/>
              </w:rPr>
              <w:t>BEFORE Working With You</w:t>
            </w:r>
          </w:p>
        </w:tc>
        <w:tc>
          <w:tcPr>
            <w:tcW w:type="dxa" w:w="4320"/>
          </w:tcPr>
          <w:p>
            <w:r>
              <w:rPr>
                <w:b/>
              </w:rPr>
              <w:t>AFTER Working With You</w:t>
            </w:r>
          </w:p>
        </w:tc>
      </w:tr>
      <w:tr>
        <w:tc>
          <w:tcPr>
            <w:tcW w:type="dxa" w:w="4320"/>
          </w:tcPr>
          <w:p>
            <w:r>
              <w:t>Manuscript sits in drafts for 8–12 months because the researcher cannot polish the English to journal standards</w:t>
            </w:r>
          </w:p>
        </w:tc>
        <w:tc>
          <w:tcPr>
            <w:tcW w:type="dxa" w:w="4320"/>
          </w:tcPr>
          <w:p>
            <w:r>
              <w:t>Submission-ready manuscript delivered within 14 days — researcher sends it the same week</w:t>
            </w:r>
          </w:p>
        </w:tc>
      </w:tr>
      <w:tr>
        <w:tc>
          <w:tcPr>
            <w:tcW w:type="dxa" w:w="4320"/>
          </w:tcPr>
          <w:p>
            <w:r>
              <w:t>Submitted manuscripts get desk-rejected within 48 hours because language reads “foreign” or journal scope is wrong</w:t>
            </w:r>
          </w:p>
        </w:tc>
        <w:tc>
          <w:tcPr>
            <w:tcW w:type="dxa" w:w="4320"/>
          </w:tcPr>
          <w:p>
            <w:r>
              <w:t>Manuscripts pass the editor’s desk review and reach peer reviewers — language and journal fit are both correct</w:t>
            </w:r>
          </w:p>
        </w:tc>
      </w:tr>
      <w:tr>
        <w:tc>
          <w:tcPr>
            <w:tcW w:type="dxa" w:w="4320"/>
          </w:tcPr>
          <w:p>
            <w:r>
              <w:t>Researcher submits to 4–5 journals before finding the right one, losing 6–12 months</w:t>
            </w:r>
          </w:p>
        </w:tc>
        <w:tc>
          <w:tcPr>
            <w:tcW w:type="dxa" w:w="4320"/>
          </w:tcPr>
          <w:p>
            <w:r>
              <w:t>Right journal first, with a backup sequence ready — total submission cycle compressed by 50%</w:t>
            </w:r>
          </w:p>
        </w:tc>
      </w:tr>
      <w:tr>
        <w:tc>
          <w:tcPr>
            <w:tcW w:type="dxa" w:w="4320"/>
          </w:tcPr>
          <w:p>
            <w:r>
              <w:t>Reviewer comments come back and the researcher spends 4–6 weeks struggling to write the response document</w:t>
            </w:r>
          </w:p>
        </w:tc>
        <w:tc>
          <w:tcPr>
            <w:tcW w:type="dxa" w:w="4320"/>
          </w:tcPr>
          <w:p>
            <w:r>
              <w:t>Point-by-point response document delivered in 5–7 days — revisions submitted on time and accepted</w:t>
            </w:r>
          </w:p>
        </w:tc>
      </w:tr>
      <w:tr>
        <w:tc>
          <w:tcPr>
            <w:tcW w:type="dxa" w:w="4320"/>
          </w:tcPr>
          <w:p>
            <w:r>
              <w:t>Researcher gives up after one or two rejections and the paper never gets published</w:t>
            </w:r>
          </w:p>
        </w:tc>
        <w:tc>
          <w:tcPr>
            <w:tcW w:type="dxa" w:w="4320"/>
          </w:tcPr>
          <w:p>
            <w:r>
              <w:t>Research reaches its journal audience — citations begin, career credit accrues, next grant becomes easier</w:t>
            </w:r>
          </w:p>
        </w:tc>
      </w:tr>
      <w:tr>
        <w:tc>
          <w:tcPr>
            <w:tcW w:type="dxa" w:w="4320"/>
          </w:tcPr>
          <w:p>
            <w:r>
              <w:t>Cover letter is a generic 3-line template that gives editors no reason to take the manuscript seriously</w:t>
            </w:r>
          </w:p>
        </w:tc>
        <w:tc>
          <w:tcPr>
            <w:tcW w:type="dxa" w:w="4320"/>
          </w:tcPr>
          <w:p>
            <w:r>
              <w:t>Personalised, journal-specific cover letter that frames the manuscript as a strong fit before the editor reads page one</w:t>
            </w:r>
          </w:p>
        </w:tc>
      </w:tr>
    </w:tbl>
    <w:p/>
    <w:p>
      <w:pPr>
        <w:pStyle w:val="Heading3"/>
      </w:pPr>
      <w:r>
        <w:t>WHO YOU SERVE</w:t>
      </w:r>
    </w:p>
    <w:p>
      <w:r>
        <w:t>Your target client is a researcher in China, South Korea, or Japan who is publishing original research in an English-language international journal. Your specific client is typically an associate or assistant professor, postdoctoral researcher, or senior PhD candidate at a top-tier university in these countries. They have already submitted to international journals before. They have already been rejected at least once with feedback citing “language clarity” or “English quality.” They are under institutional pressure to publish in indexed journals — and they have a research grant or departmental budget that can pay between USD 500 and USD 3,000 per manuscript for editing and submission support. They are not looking for a generic proofreader. They are looking for a writing partner who can fix the manuscript at the level of argument, structure, and journal fit — not just at the level of grammar.</w:t>
      </w:r>
    </w:p>
    <w:p>
      <w:pPr>
        <w:pStyle w:val="Heading3"/>
      </w:pPr>
      <w:r>
        <w:t>THE GUARANTEE</w:t>
      </w:r>
    </w:p>
    <w:p>
      <w:r>
        <w:rPr>
          <w:b/>
        </w:rPr>
        <w:t>Your manuscript will be submission-ready within 14 days of receiving your complete files — including all five deliverables above. If it is not, you receive your next manuscript edit at no cost.</w:t>
      </w:r>
    </w:p>
    <w:p>
      <w:r>
        <w:rPr>
          <w:b/>
        </w:rPr>
        <w:t xml:space="preserve">Additionally: </w:t>
      </w:r>
      <w:r>
        <w:t>If the manuscript is desk-rejected for any reason within the scope of this service — language quality, formatting non-compliance, cover letter weakness, or journal scope mismatch from the prioritised list — the next round of editing and submission preparation to an alternative journal is included free of charge.</w:t>
      </w:r>
    </w:p>
    <w:p>
      <w:r>
        <w:br w:type="page"/>
      </w:r>
    </w:p>
    <w:p>
      <w:pPr>
        <w:pStyle w:val="Heading2"/>
      </w:pPr>
      <w:r>
        <w:t>OFFER 1B — For Indian University Researchers and Faculty Publishing in International English-Language Journals</w:t>
      </w:r>
    </w:p>
    <w:p>
      <w:pPr>
        <w:spacing w:before="120" w:after="280"/>
      </w:pPr>
      <w:r>
        <w:rPr>
          <w:b/>
          <w:i/>
          <w:sz w:val="23"/>
        </w:rPr>
        <w:t>“I Help Indian Researchers and Faculty Turn Rejected or Stalled Manuscripts Into Submission-Ready Papers That International Journals Accept — If Your Manuscript Is Not Submission-Ready in 14 Days, You Get the Next Edit Free”</w:t>
      </w:r>
    </w:p>
    <w:p>
      <w:pPr>
        <w:pStyle w:val="Heading3"/>
      </w:pPr>
      <w:r>
        <w:t>WHAT YOU WILL DELIVER</w:t>
      </w:r>
    </w:p>
    <w:p>
      <w:pPr>
        <w:pStyle w:val="Heading4"/>
      </w:pPr>
      <w:r>
        <w:t>1. Substantive Manuscript Editing (Language + Argument + Structure)</w:t>
      </w:r>
    </w:p>
    <w:p>
      <w:pPr>
        <w:pStyle w:val="ListBullet"/>
      </w:pPr>
      <w:r>
        <w:t>Read the complete manuscript end-to-end and provide a top-level structural assessment: does the paper tell a clear scientific story? Is the argument logical? Does the conclusion actually follow from the results?</w:t>
      </w:r>
    </w:p>
    <w:p>
      <w:pPr>
        <w:pStyle w:val="ListBullet"/>
      </w:pPr>
      <w:r>
        <w:t>Restructure sections where necessary — ensuring the Introduction motivates the study, the Methods are reproducible, the Results are clearly presented, and the Discussion interprets findings without overstating them</w:t>
      </w:r>
    </w:p>
    <w:p>
      <w:pPr>
        <w:pStyle w:val="ListBullet"/>
      </w:pPr>
      <w:r>
        <w:t>Rewrite for precision: eliminate the informal phrasing and conversational English patterns common in Indian academic drafts, correct tense consistency, and ensure every technical term is used uniformly throughout</w:t>
      </w:r>
    </w:p>
    <w:p>
      <w:pPr>
        <w:pStyle w:val="ListBullet"/>
      </w:pPr>
      <w:r>
        <w:t>Strengthen the Discussion section: identify where the interpretation is too conservative or too speculative — and rewrite to match what international reviewers expect</w:t>
      </w:r>
    </w:p>
    <w:p>
      <w:pPr>
        <w:pStyle w:val="ListBullet"/>
      </w:pPr>
      <w:r>
        <w:t>Deliver two clean versions: a tracked changes version showing every edit, and a clean version ready to send to co-authors</w:t>
      </w:r>
    </w:p>
    <w:p>
      <w:pPr>
        <w:spacing w:before="80" w:after="280"/>
      </w:pPr>
      <w:r>
        <w:rPr>
          <w:b/>
          <w:i/>
        </w:rPr>
        <w:t xml:space="preserve">How This Helps: </w:t>
      </w:r>
      <w:r>
        <w:rPr>
          <w:i/>
        </w:rPr>
        <w:t>Indian researchers are among the most prolific in the world by volume — but international journals still reject Indian manuscripts at a disproportionately high rate at the language and argumentation stage. The issue is not proficiency in English — it is the specific precision and argumentation style that international peer reviewers expect. This is a skill rarely taught in Indian academic institutions. When the manuscript reads to that standard, the science is evaluated on its own merit.</w:t>
      </w:r>
    </w:p>
    <w:p>
      <w:pPr>
        <w:pStyle w:val="Heading4"/>
      </w:pPr>
      <w:r>
        <w:t>2. Journal Selection &amp; Submission Strategy</w:t>
      </w:r>
    </w:p>
    <w:p>
      <w:pPr>
        <w:pStyle w:val="ListBullet"/>
      </w:pPr>
      <w:r>
        <w:t>Analyse the manuscript’s scope, methodology, novelty, and target audience to identify the 5–8 most appropriate journals — balancing ambition with realistic likelihood of acceptance</w:t>
      </w:r>
    </w:p>
    <w:p>
      <w:pPr>
        <w:pStyle w:val="ListBullet"/>
      </w:pPr>
      <w:r>
        <w:t>Cross-check every candidate journal against Scopus, Web of Science, and the UGC-CARE list — ensuring the journals are indexed and count toward UGC promotions, NAAC scores, and NIRF rankings</w:t>
      </w:r>
    </w:p>
    <w:p>
      <w:pPr>
        <w:pStyle w:val="ListBullet"/>
      </w:pPr>
      <w:r>
        <w:t>Research each candidate journal: acceptance rate, average review timeline, editorial focus, and recent papers on similar topics</w:t>
      </w:r>
    </w:p>
    <w:p>
      <w:pPr>
        <w:pStyle w:val="ListBullet"/>
      </w:pPr>
      <w:r>
        <w:t>Prepare a prioritised submission sequence: which journal to try first, which to escalate to if rejected, and which to fall back to — so no time is wasted reformatting after each rejection</w:t>
      </w:r>
    </w:p>
    <w:p>
      <w:pPr>
        <w:pStyle w:val="ListBullet"/>
      </w:pPr>
      <w:r>
        <w:t>Format the manuscript fully for the first target journal: stylesheet compliance, citation format, reference list, figure and table specs, word count, and supplementary file packaging</w:t>
      </w:r>
    </w:p>
    <w:p>
      <w:pPr>
        <w:spacing w:before="80" w:after="280"/>
      </w:pPr>
      <w:r>
        <w:rPr>
          <w:b/>
          <w:i/>
        </w:rPr>
        <w:t xml:space="preserve">How This Helps: </w:t>
      </w:r>
      <w:r>
        <w:rPr>
          <w:i/>
        </w:rPr>
        <w:t>Indian researchers frequently lose months submitting to the wrong journals — either journals outside their research scope, or journals not indexed in Scopus or WoS that don’t count for UGC promotions or NAAC scores. When journal selection is done systematically — with both scope fit and indexing status in mind — every submission counts toward the researcher’s institutional requirements and career.</w:t>
      </w:r>
    </w:p>
    <w:p>
      <w:pPr>
        <w:pStyle w:val="Heading4"/>
      </w:pPr>
      <w:r>
        <w:t>3. Cover Letter &amp; Submission Package Preparation</w:t>
      </w:r>
    </w:p>
    <w:p>
      <w:pPr>
        <w:pStyle w:val="ListBullet"/>
      </w:pPr>
      <w:r>
        <w:t>Write a personalised cover letter to the journal editor explaining why this manuscript fits the journal’s scope, what is novel about the findings, and why it deserves the editor’s attention</w:t>
      </w:r>
    </w:p>
    <w:p>
      <w:pPr>
        <w:pStyle w:val="ListBullet"/>
      </w:pPr>
      <w:r>
        <w:t>Prepare all required submission attachments: title page with affiliations, conflict of interest declarations, author contribution statements, funding declarations, ethics approval references, and data availability statements</w:t>
      </w:r>
    </w:p>
    <w:p>
      <w:pPr>
        <w:pStyle w:val="ListBullet"/>
      </w:pPr>
      <w:r>
        <w:t>Draft recommended reviewer suggestions per the journal’s submission requirements</w:t>
      </w:r>
    </w:p>
    <w:p>
      <w:pPr>
        <w:pStyle w:val="ListBullet"/>
      </w:pPr>
      <w:r>
        <w:t>Compile graphical abstract instructions, highlights, and lay summary if the target journal requires them</w:t>
      </w:r>
    </w:p>
    <w:p>
      <w:pPr>
        <w:spacing w:before="80" w:after="280"/>
      </w:pPr>
      <w:r>
        <w:rPr>
          <w:b/>
          <w:i/>
        </w:rPr>
        <w:t xml:space="preserve">How This Helps: </w:t>
      </w:r>
      <w:r>
        <w:rPr>
          <w:i/>
        </w:rPr>
        <w:t>A weak cover letter is one of the top reasons editors desk-reject manuscripts. When the cover letter makes a compelling case for why this manuscript belongs in this journal specifically, the paper enters peer review with a clear advantage.</w:t>
      </w:r>
    </w:p>
    <w:p>
      <w:pPr>
        <w:pStyle w:val="Heading4"/>
      </w:pPr>
      <w:r>
        <w:t>4. Response to Reviewers &amp; Resubmission Support</w:t>
      </w:r>
    </w:p>
    <w:p>
      <w:pPr>
        <w:pStyle w:val="ListBullet"/>
      </w:pPr>
      <w:r>
        <w:t>After peer review comes back, read all reviewer comments alongside the original manuscript and the editor’s decision letter</w:t>
      </w:r>
    </w:p>
    <w:p>
      <w:pPr>
        <w:pStyle w:val="ListBullet"/>
      </w:pPr>
      <w:r>
        <w:t>Prepare a point-by-point response document — quoting each reviewer comment, explaining how the manuscript was revised to address it, and indicating the exact page and line where the change was made</w:t>
      </w:r>
    </w:p>
    <w:p>
      <w:pPr>
        <w:pStyle w:val="ListBullet"/>
      </w:pPr>
      <w:r>
        <w:t>For comments the researcher cannot or chooses not to address, draft a respectful, evidence-backed rebuttal explaining why the original approach is sound</w:t>
      </w:r>
    </w:p>
    <w:p>
      <w:pPr>
        <w:pStyle w:val="ListBullet"/>
      </w:pPr>
      <w:r>
        <w:t>Revise the manuscript to incorporate all agreed-upon changes — maintaining language consistency with the original edited version</w:t>
      </w:r>
    </w:p>
    <w:p>
      <w:pPr>
        <w:pStyle w:val="ListBullet"/>
      </w:pPr>
      <w:r>
        <w:t>Prepare the resubmission cover letter to the editor</w:t>
      </w:r>
    </w:p>
    <w:p>
      <w:pPr>
        <w:spacing w:before="80" w:after="280"/>
      </w:pPr>
      <w:r>
        <w:rPr>
          <w:b/>
          <w:i/>
        </w:rPr>
        <w:t xml:space="preserve">How This Helps: </w:t>
      </w:r>
      <w:r>
        <w:rPr>
          <w:i/>
        </w:rPr>
        <w:t>Indian researchers often receive revise-and-resubmit decisions but lose the paper at the response stage — either because the response document does not follow the expected format, or because reviewer comments are addressed defensively rather than diplomatically. A well-written response converts revise-and-resubmit into accepted instead of another 4-month cycle.</w:t>
      </w:r>
    </w:p>
    <w:p>
      <w:pPr>
        <w:pStyle w:val="Heading4"/>
      </w:pPr>
      <w:r>
        <w:t>5. Plagiarism &amp; Pre-Submission Quality Check</w:t>
      </w:r>
    </w:p>
    <w:p>
      <w:pPr>
        <w:pStyle w:val="ListBullet"/>
      </w:pPr>
      <w:r>
        <w:t>Run the manuscript through iThenticate or Turnitin to check for unintentional overlap with previously published work — including the researcher’s own papers (self-plagiarism)</w:t>
      </w:r>
    </w:p>
    <w:p>
      <w:pPr>
        <w:pStyle w:val="ListBullet"/>
      </w:pPr>
      <w:r>
        <w:t>Verify all in-text citations appear in the reference list and that every reference is cited in the text</w:t>
      </w:r>
    </w:p>
    <w:p>
      <w:pPr>
        <w:pStyle w:val="ListBullet"/>
      </w:pPr>
      <w:r>
        <w:t>Check all figure captions, table titles, and equations for numbering consistency</w:t>
      </w:r>
    </w:p>
    <w:p>
      <w:pPr>
        <w:pStyle w:val="ListBullet"/>
      </w:pPr>
      <w:r>
        <w:t>Confirm all journal-specific declarations are completed correctly</w:t>
      </w:r>
    </w:p>
    <w:p>
      <w:pPr>
        <w:pStyle w:val="ListBullet"/>
      </w:pPr>
      <w:r>
        <w:t>Deliver a final pre-submission checklist confirming the manuscript meets every technical requirement of the target journal</w:t>
      </w:r>
    </w:p>
    <w:p>
      <w:pPr>
        <w:spacing w:before="80" w:after="280"/>
      </w:pPr>
      <w:r>
        <w:rPr>
          <w:b/>
          <w:i/>
        </w:rPr>
        <w:t xml:space="preserve">How This Helps: </w:t>
      </w:r>
      <w:r>
        <w:rPr>
          <w:i/>
        </w:rPr>
        <w:t>Plagiarism checks are mandatory for all Indian institutions and most international journals. Unintentional overlap — especially in methods sections where researchers reuse language from their own previous papers — is a common issue that triggers automatic rejection. A clean pre-submission check ensures the paper is not rejected for any technical reason before peer reviewers even see it.</w:t>
      </w:r>
    </w:p>
    <w:p>
      <w:pPr>
        <w:pStyle w:val="Heading3"/>
      </w:pPr>
      <w:r>
        <w:t>WHAT LIFE LOOKS LIKE BEFORE vs. AFTER</w:t>
      </w:r>
    </w:p>
    <w:tbl>
      <w:tblPr>
        <w:tblStyle w:val="TableGrid"/>
        <w:tblW w:type="auto" w:w="0"/>
        <w:tblLook w:firstColumn="1" w:firstRow="1" w:lastColumn="0" w:lastRow="0" w:noHBand="0" w:noVBand="1" w:val="04A0"/>
      </w:tblPr>
      <w:tblGrid>
        <w:gridCol w:w="4320"/>
        <w:gridCol w:w="4320"/>
      </w:tblGrid>
      <w:tr>
        <w:tc>
          <w:tcPr>
            <w:tcW w:type="dxa" w:w="4320"/>
          </w:tcPr>
          <w:p>
            <w:r>
              <w:rPr>
                <w:b/>
              </w:rPr>
              <w:t>BEFORE Working With You</w:t>
            </w:r>
          </w:p>
        </w:tc>
        <w:tc>
          <w:tcPr>
            <w:tcW w:type="dxa" w:w="4320"/>
          </w:tcPr>
          <w:p>
            <w:r>
              <w:rPr>
                <w:b/>
              </w:rPr>
              <w:t>AFTER Working With You</w:t>
            </w:r>
          </w:p>
        </w:tc>
      </w:tr>
      <w:tr>
        <w:tc>
          <w:tcPr>
            <w:tcW w:type="dxa" w:w="4320"/>
          </w:tcPr>
          <w:p>
            <w:r>
              <w:t>Manuscript submitted to a journal not indexed in Scopus or UGC-CARE — publication doesn’t count for promotion</w:t>
            </w:r>
          </w:p>
        </w:tc>
        <w:tc>
          <w:tcPr>
            <w:tcW w:type="dxa" w:w="4320"/>
          </w:tcPr>
          <w:p>
            <w:r>
              <w:t>Every target journal verified against Scopus, WoS, and UGC-CARE before submission — every publication counts</w:t>
            </w:r>
          </w:p>
        </w:tc>
      </w:tr>
      <w:tr>
        <w:tc>
          <w:tcPr>
            <w:tcW w:type="dxa" w:w="4320"/>
          </w:tcPr>
          <w:p>
            <w:r>
              <w:t>Manuscript desk-rejected with reviewer comment “English requires significant improvement”</w:t>
            </w:r>
          </w:p>
        </w:tc>
        <w:tc>
          <w:tcPr>
            <w:tcW w:type="dxa" w:w="4320"/>
          </w:tcPr>
          <w:p>
            <w:r>
              <w:t>Manuscript passes desk review and reaches peer reviewers — language is to international journal standard</w:t>
            </w:r>
          </w:p>
        </w:tc>
      </w:tr>
      <w:tr>
        <w:tc>
          <w:tcPr>
            <w:tcW w:type="dxa" w:w="4320"/>
          </w:tcPr>
          <w:p>
            <w:r>
              <w:t>Researcher submits to 4–5 journals before finding the right scope fit, losing 8–12 months</w:t>
            </w:r>
          </w:p>
        </w:tc>
        <w:tc>
          <w:tcPr>
            <w:tcW w:type="dxa" w:w="4320"/>
          </w:tcPr>
          <w:p>
            <w:r>
              <w:t>Prioritised journal sequence prepared upfront — right journal, first submission, backup ready in 24 hours</w:t>
            </w:r>
          </w:p>
        </w:tc>
      </w:tr>
      <w:tr>
        <w:tc>
          <w:tcPr>
            <w:tcW w:type="dxa" w:w="4320"/>
          </w:tcPr>
          <w:p>
            <w:r>
              <w:t>Plagiarism check flags 25–35% similarity — submission rejected by journal system before review</w:t>
            </w:r>
          </w:p>
        </w:tc>
        <w:tc>
          <w:tcPr>
            <w:tcW w:type="dxa" w:w="4320"/>
          </w:tcPr>
          <w:p>
            <w:r>
              <w:t>Pre-submission iThenticate check clears similarity issues before they reach the journal</w:t>
            </w:r>
          </w:p>
        </w:tc>
      </w:tr>
      <w:tr>
        <w:tc>
          <w:tcPr>
            <w:tcW w:type="dxa" w:w="4320"/>
          </w:tcPr>
          <w:p>
            <w:r>
              <w:t>Reviewer response document is poorly structured — second round of major revisions triggered</w:t>
            </w:r>
          </w:p>
        </w:tc>
        <w:tc>
          <w:tcPr>
            <w:tcW w:type="dxa" w:w="4320"/>
          </w:tcPr>
          <w:p>
            <w:r>
              <w:t>Point-by-point response delivered in 5–7 days — revisions submitted on time and accepted</w:t>
            </w:r>
          </w:p>
        </w:tc>
      </w:tr>
      <w:tr>
        <w:tc>
          <w:tcPr>
            <w:tcW w:type="dxa" w:w="4320"/>
          </w:tcPr>
          <w:p>
            <w:r>
              <w:t>Research sits unpublished — affecting promotion score, NAAC grade, and grant eligibility</w:t>
            </w:r>
          </w:p>
        </w:tc>
        <w:tc>
          <w:tcPr>
            <w:tcW w:type="dxa" w:w="4320"/>
          </w:tcPr>
          <w:p>
            <w:r>
              <w:t>Research published in indexed journal — promotion criteria met, institutional ranking improved, next grant stronger</w:t>
            </w:r>
          </w:p>
        </w:tc>
      </w:tr>
    </w:tbl>
    <w:p/>
    <w:p>
      <w:pPr>
        <w:pStyle w:val="Heading3"/>
      </w:pPr>
      <w:r>
        <w:t>WHO YOU SERVE</w:t>
      </w:r>
    </w:p>
    <w:p>
      <w:r>
        <w:t>Your target client is a faculty member, postdoctoral researcher, or senior PhD candidate at an Indian university — IITs, NITs, central universities, or state universities — who is under institutional pressure to publish in Scopus or Web of Science indexed journals. Publication is mandatory for UGC promotions, for PhD completion at many universities, and for improving their institution’s NAAC score and NIRF ranking. They have completed the research. The science is sound. But their manuscripts are rejected at the language review stage or returned by reviewers asking for significant English revision — not because their ideas are wrong, but because the formal academic writing style expected by international journals is a specific skill rarely taught in Indian academic programmes.</w:t>
      </w:r>
    </w:p>
    <w:p>
      <w:pPr>
        <w:pStyle w:val="Heading3"/>
      </w:pPr>
      <w:r>
        <w:t>THE GUARANTEE</w:t>
      </w:r>
    </w:p>
    <w:p>
      <w:r>
        <w:rPr>
          <w:b/>
        </w:rPr>
        <w:t>Your manuscript will be submission-ready within 14 days of receiving your complete files — including all five deliverables above. If it is not, you receive your next manuscript edit at no cost.</w:t>
      </w:r>
    </w:p>
    <w:p>
      <w:r>
        <w:rPr>
          <w:b/>
        </w:rPr>
        <w:t xml:space="preserve">Additionally: </w:t>
      </w:r>
      <w:r>
        <w:t>If the manuscript is desk-rejected for any reason within the scope of this service — language quality, formatting non-compliance, cover letter weakness, or journal scope mismatch from the prioritised list — the next round of editing and submission preparation to an alternative journal is included free of charge.</w:t>
      </w:r>
    </w:p>
    <w:p>
      <w:r>
        <w:br w:type="page"/>
      </w:r>
    </w:p>
    <w:p>
      <w:pPr>
        <w:pStyle w:val="Heading1"/>
      </w:pPr>
      <w:r>
        <w:t>OFFER 2 — GRANT PROPOSAL WRITING</w:t>
      </w:r>
    </w:p>
    <w:p>
      <w:pPr>
        <w:pStyle w:val="Heading2"/>
      </w:pPr>
      <w:r>
        <w:t>OFFER 2A — For Professors and Research Scientists at Universities in the US, UK, Canada &amp; Australia</w:t>
      </w:r>
    </w:p>
    <w:p>
      <w:pPr>
        <w:spacing w:before="120" w:after="280"/>
      </w:pPr>
      <w:r>
        <w:rPr>
          <w:b/>
          <w:i/>
          <w:sz w:val="23"/>
        </w:rPr>
        <w:t>“I Help University Professors and Research Directors Write NIH, NSF, and Foundation Grant Proposals That Win Funding — If Your Proposal Is Not Submission-Ready by Your Deadline, I Redo It at No Extra Cost”</w:t>
      </w:r>
    </w:p>
    <w:p>
      <w:pPr>
        <w:pStyle w:val="Heading3"/>
      </w:pPr>
      <w:r>
        <w:t>WHAT YOU WILL DELIVER</w:t>
      </w:r>
    </w:p>
    <w:p>
      <w:pPr>
        <w:pStyle w:val="Heading4"/>
      </w:pPr>
      <w:r>
        <w:t>1. Funding Agency Research &amp; Strategic Alignment</w:t>
      </w:r>
    </w:p>
    <w:p>
      <w:pPr>
        <w:pStyle w:val="ListBullet"/>
      </w:pPr>
      <w:r>
        <w:t>Research and identify the top 5–10 funding agencies and grant programmes that best match the client’s research focus, institution type, and project scope — NIH, NSF, UKRI, EU Horizon, Wellcome Trust, Gates Foundation, private foundations</w:t>
      </w:r>
    </w:p>
    <w:p>
      <w:pPr>
        <w:pStyle w:val="ListBullet"/>
      </w:pPr>
      <w:r>
        <w:t>Cross-reference the client’s research priorities with each agency’s current strategic funding agenda — identifying where their work aligns with what reviewers are actively funding this cycle</w:t>
      </w:r>
    </w:p>
    <w:p>
      <w:pPr>
        <w:pStyle w:val="ListBullet"/>
      </w:pPr>
      <w:r>
        <w:t>Research recently funded projects in the same field to understand what language, framing, and scope the agency has already rewarded</w:t>
      </w:r>
    </w:p>
    <w:p>
      <w:pPr>
        <w:pStyle w:val="ListBullet"/>
      </w:pPr>
      <w:r>
        <w:t>Shortlist 2–3 best-fit funding opportunities with a written rationale explaining why each is a strong match</w:t>
      </w:r>
    </w:p>
    <w:p>
      <w:pPr>
        <w:pStyle w:val="ListBullet"/>
      </w:pPr>
      <w:r>
        <w:t>Track open grant cycles and submission deadlines so the client never misses a funding window</w:t>
      </w:r>
    </w:p>
    <w:p>
      <w:pPr>
        <w:spacing w:before="80" w:after="280"/>
      </w:pPr>
      <w:r>
        <w:rPr>
          <w:b/>
          <w:i/>
        </w:rPr>
        <w:t xml:space="preserve">How This Helps: </w:t>
      </w:r>
      <w:r>
        <w:rPr>
          <w:i/>
        </w:rPr>
        <w:t>The single biggest grant writing mistake is submitting a technically strong proposal to the wrong funder. Review panels fund projects that align with their strategic priorities — not just strong science in isolation. When you identify exactly where the client’s work fits the funder’s current agenda, the proposal starts with a strategic advantage before a single word is written.</w:t>
      </w:r>
    </w:p>
    <w:p>
      <w:pPr>
        <w:pStyle w:val="Heading4"/>
      </w:pPr>
      <w:r>
        <w:t>2. Full Grant Proposal Drafting</w:t>
      </w:r>
    </w:p>
    <w:p>
      <w:pPr>
        <w:pStyle w:val="ListBullet"/>
      </w:pPr>
      <w:r>
        <w:t>Write the Project Summary/Abstract: a clear, compelling overview of what the project will do, why it matters, and what outcomes it will produce — written for both technical and non-specialist reviewers on the panel</w:t>
      </w:r>
    </w:p>
    <w:p>
      <w:pPr>
        <w:pStyle w:val="ListBullet"/>
      </w:pPr>
      <w:r>
        <w:t>Draft the Specific Aims page for NIH proposals: the single most critical page — stating the research problem, long-term goal, specific measurable objectives, and expected impact</w:t>
      </w:r>
    </w:p>
    <w:p>
      <w:pPr>
        <w:pStyle w:val="ListBullet"/>
      </w:pPr>
      <w:r>
        <w:t>Write the Research Strategy: Significance (why this problem matters now), Innovation (what is genuinely new about this approach), and Approach (methodology, timeline, and risk mitigation plan)</w:t>
      </w:r>
    </w:p>
    <w:p>
      <w:pPr>
        <w:pStyle w:val="ListBullet"/>
      </w:pPr>
      <w:r>
        <w:t>Write the Project Narrative connecting the research directly to the funder’s stated public mission</w:t>
      </w:r>
    </w:p>
    <w:p>
      <w:pPr>
        <w:pStyle w:val="ListBullet"/>
      </w:pPr>
      <w:r>
        <w:t>Draft the Evaluation Plan: how success will be measured, what data will be collected, and what the progress benchmarks are</w:t>
      </w:r>
    </w:p>
    <w:p>
      <w:pPr>
        <w:pStyle w:val="ListBullet"/>
      </w:pPr>
      <w:r>
        <w:t>Ensure every section follows the funder’s exact formatting requirements: page limits, font, margins, heading structure, section names</w:t>
      </w:r>
    </w:p>
    <w:p>
      <w:pPr>
        <w:spacing w:before="80" w:after="280"/>
      </w:pPr>
      <w:r>
        <w:rPr>
          <w:b/>
          <w:i/>
        </w:rPr>
        <w:t xml:space="preserve">How This Helps: </w:t>
      </w:r>
      <w:r>
        <w:rPr>
          <w:i/>
        </w:rPr>
        <w:t>Writing a compelling grant proposal is a completely different skill from doing the underlying research. Many excellent researchers lose funding not because their science is weak, but because their proposals fail to persuade non-specialist reviewers, are poorly structured, or fail to connect the work to what the funder values most. A well-written proposal tells one clear story: here is the problem, here is why it has not been solved, here is how we will solve it, here is why we are the right team. When you write the proposal, the researcher’s ideas are presented in their most persuasive form.</w:t>
      </w:r>
    </w:p>
    <w:p>
      <w:pPr>
        <w:pStyle w:val="Heading4"/>
      </w:pPr>
      <w:r>
        <w:t>3. Budget Development &amp; Justification</w:t>
      </w:r>
    </w:p>
    <w:p>
      <w:pPr>
        <w:pStyle w:val="ListBullet"/>
      </w:pPr>
      <w:r>
        <w:t>Work with the client to develop a realistic, defensible project budget: personnel salaries and fringe benefits, equipment, supplies, travel, participant costs, and indirect costs/overhead</w:t>
      </w:r>
    </w:p>
    <w:p>
      <w:pPr>
        <w:pStyle w:val="ListBullet"/>
      </w:pPr>
      <w:r>
        <w:t>Write a detailed budget justification for every single line item — explaining precisely why each cost is necessary and directly tied to a specific project activity</w:t>
      </w:r>
    </w:p>
    <w:p>
      <w:pPr>
        <w:pStyle w:val="ListBullet"/>
      </w:pPr>
      <w:r>
        <w:t>Ensure the budget complies with the funder’s allowable cost categories and cost principles</w:t>
      </w:r>
    </w:p>
    <w:p>
      <w:pPr>
        <w:pStyle w:val="ListBullet"/>
      </w:pPr>
      <w:r>
        <w:t>Flag cost categories requiring special approval and prepare the required supporting documentation</w:t>
      </w:r>
    </w:p>
    <w:p>
      <w:pPr>
        <w:spacing w:before="80" w:after="280"/>
      </w:pPr>
      <w:r>
        <w:rPr>
          <w:b/>
          <w:i/>
        </w:rPr>
        <w:t xml:space="preserve">How This Helps: </w:t>
      </w:r>
      <w:r>
        <w:rPr>
          <w:i/>
        </w:rPr>
        <w:t>Budget sections are where many otherwise strong proposals lose reviewer confidence. A budget that is too lean signals the researcher has not thought through what the project actually requires. A budget that is vaguely justified triggers scrutiny about financial management. A well-constructed budget communicates to reviewers that the PI understands the project’s resource requirements and will manage funds responsibly — and that directly affects the final score.</w:t>
      </w:r>
    </w:p>
    <w:p>
      <w:pPr>
        <w:pStyle w:val="Heading4"/>
      </w:pPr>
      <w:r>
        <w:t>4. Biosketch Preparation &amp; Supporting Document Coordination</w:t>
      </w:r>
    </w:p>
    <w:p>
      <w:pPr>
        <w:pStyle w:val="ListBullet"/>
      </w:pPr>
      <w:r>
        <w:t>Write or update the PI’s biosketch in the required format: NIH Biosketch, NSF Biographical Sketch, or funder-specific version</w:t>
      </w:r>
    </w:p>
    <w:p>
      <w:pPr>
        <w:pStyle w:val="ListBullet"/>
      </w:pPr>
      <w:r>
        <w:t>Draft the personal statement that connects the researcher’s background and track record directly to the proposed project’s specific aims</w:t>
      </w:r>
    </w:p>
    <w:p>
      <w:pPr>
        <w:pStyle w:val="ListBullet"/>
      </w:pPr>
      <w:r>
        <w:t>Coordinate with co-investigators and collaborating institutions to collect their biosketches and letters of support</w:t>
      </w:r>
    </w:p>
    <w:p>
      <w:pPr>
        <w:pStyle w:val="ListBullet"/>
      </w:pPr>
      <w:r>
        <w:t>Prepare letter of support templates for institutional partners, community organisations, and co-investigators</w:t>
      </w:r>
    </w:p>
    <w:p>
      <w:pPr>
        <w:pStyle w:val="ListBullet"/>
      </w:pPr>
      <w:r>
        <w:t>Compile all required attachments: facilities and resources, equipment descriptions, IRB and ethics approvals, data management plan, and human subjects section</w:t>
      </w:r>
    </w:p>
    <w:p>
      <w:pPr>
        <w:spacing w:before="80" w:after="280"/>
      </w:pPr>
      <w:r>
        <w:rPr>
          <w:b/>
          <w:i/>
        </w:rPr>
        <w:t xml:space="preserve">How This Helps: </w:t>
      </w:r>
      <w:r>
        <w:rPr>
          <w:i/>
        </w:rPr>
        <w:t>Most grant proposals involve multiple people across multiple institutions — and coordinating all the moving pieces while also writing the proposal is where timelines collapse. When you own the collection, formatting, and packaging of all supporting documents, the researcher reviews and approves rather than chasing 10 different people for materials that arrive incomplete at the last minute.</w:t>
      </w:r>
    </w:p>
    <w:p>
      <w:pPr>
        <w:pStyle w:val="Heading4"/>
      </w:pPr>
      <w:r>
        <w:t>5. Pre-Submission Compliance Review &amp; Final Package Assembly</w:t>
      </w:r>
    </w:p>
    <w:p>
      <w:pPr>
        <w:pStyle w:val="ListBullet"/>
      </w:pPr>
      <w:r>
        <w:t>Review the complete submission package against the funder’s application guide — every required section, page limit, format rule, and attachment checked and confirmed</w:t>
      </w:r>
    </w:p>
    <w:p>
      <w:pPr>
        <w:pStyle w:val="ListBullet"/>
      </w:pPr>
      <w:r>
        <w:t>Verify that the specific aims, research strategy, and budget tell a consistent story — no internal contradictions or unexplained gaps between sections</w:t>
      </w:r>
    </w:p>
    <w:p>
      <w:pPr>
        <w:pStyle w:val="ListBullet"/>
      </w:pPr>
      <w:r>
        <w:t>Check all citations are complete and correctly formatted</w:t>
      </w:r>
    </w:p>
    <w:p>
      <w:pPr>
        <w:pStyle w:val="ListBullet"/>
      </w:pPr>
      <w:r>
        <w:t>Deliver the final package in the required format, ready for portal upload — NIH ASSIST, Grants.gov, Research.gov, or institutional system</w:t>
      </w:r>
    </w:p>
    <w:p>
      <w:pPr>
        <w:pStyle w:val="ListBullet"/>
      </w:pPr>
      <w:r>
        <w:t>Provide a written submission readiness checklist confirming every requirement has been met</w:t>
      </w:r>
    </w:p>
    <w:p>
      <w:pPr>
        <w:spacing w:before="80" w:after="280"/>
      </w:pPr>
      <w:r>
        <w:rPr>
          <w:b/>
          <w:i/>
        </w:rPr>
        <w:t xml:space="preserve">How This Helps: </w:t>
      </w:r>
      <w:r>
        <w:rPr>
          <w:i/>
        </w:rPr>
        <w:t>Grant portals reject submissions for technical errors that have nothing to do with scientific quality — wrong file format, page limit exceeded, missing attachment, incorrect margin size. A single technical error at the submission stage can invalidate months of work. A rigorous pre-submission compliance review eliminates any preventable rejection before the deadline.</w:t>
      </w:r>
    </w:p>
    <w:p>
      <w:pPr>
        <w:pStyle w:val="Heading3"/>
      </w:pPr>
      <w:r>
        <w:t>WHAT LIFE LOOKS LIKE BEFORE vs. AFTER</w:t>
      </w:r>
    </w:p>
    <w:tbl>
      <w:tblPr>
        <w:tblStyle w:val="TableGrid"/>
        <w:tblW w:type="auto" w:w="0"/>
        <w:tblLook w:firstColumn="1" w:firstRow="1" w:lastColumn="0" w:lastRow="0" w:noHBand="0" w:noVBand="1" w:val="04A0"/>
      </w:tblPr>
      <w:tblGrid>
        <w:gridCol w:w="4320"/>
        <w:gridCol w:w="4320"/>
      </w:tblGrid>
      <w:tr>
        <w:tc>
          <w:tcPr>
            <w:tcW w:type="dxa" w:w="4320"/>
          </w:tcPr>
          <w:p>
            <w:r>
              <w:rPr>
                <w:b/>
              </w:rPr>
              <w:t>BEFORE Working With You</w:t>
            </w:r>
          </w:p>
        </w:tc>
        <w:tc>
          <w:tcPr>
            <w:tcW w:type="dxa" w:w="4320"/>
          </w:tcPr>
          <w:p>
            <w:r>
              <w:rPr>
                <w:b/>
              </w:rPr>
              <w:t>AFTER Working With You</w:t>
            </w:r>
          </w:p>
        </w:tc>
      </w:tr>
      <w:tr>
        <w:tc>
          <w:tcPr>
            <w:tcW w:type="dxa" w:w="4320"/>
          </w:tcPr>
          <w:p>
            <w:r>
              <w:t>Researcher misses grant deadlines managing the writing alone on top of teaching, research, and admin</w:t>
            </w:r>
          </w:p>
        </w:tc>
        <w:tc>
          <w:tcPr>
            <w:tcW w:type="dxa" w:w="4320"/>
          </w:tcPr>
          <w:p>
            <w:r>
              <w:t>Proposal timeline managed — review and approve at each stage instead of chasing your own deadline</w:t>
            </w:r>
          </w:p>
        </w:tc>
      </w:tr>
      <w:tr>
        <w:tc>
          <w:tcPr>
            <w:tcW w:type="dxa" w:w="4320"/>
          </w:tcPr>
          <w:p>
            <w:r>
              <w:t>Strong scientific ideas get rejected because the narrative fails to persuade non-specialist reviewers</w:t>
            </w:r>
          </w:p>
        </w:tc>
        <w:tc>
          <w:tcPr>
            <w:tcW w:type="dxa" w:w="4320"/>
          </w:tcPr>
          <w:p>
            <w:r>
              <w:t>Every section written to speak clearly to both domain experts and informed non-specialists on the panel</w:t>
            </w:r>
          </w:p>
        </w:tc>
      </w:tr>
      <w:tr>
        <w:tc>
          <w:tcPr>
            <w:tcW w:type="dxa" w:w="4320"/>
          </w:tcPr>
          <w:p>
            <w:r>
              <w:t>Budget section is vague or poorly justified, triggering reviewer scepticism about financial planning</w:t>
            </w:r>
          </w:p>
        </w:tc>
        <w:tc>
          <w:tcPr>
            <w:tcW w:type="dxa" w:w="4320"/>
          </w:tcPr>
          <w:p>
            <w:r>
              <w:t>Every budget line has a precise written justification that builds reviewer confidence in the PI</w:t>
            </w:r>
          </w:p>
        </w:tc>
      </w:tr>
      <w:tr>
        <w:tc>
          <w:tcPr>
            <w:tcW w:type="dxa" w:w="4320"/>
          </w:tcPr>
          <w:p>
            <w:r>
              <w:t>Researcher spends 60–80 hours writing a single proposal, taking time away from research and teaching</w:t>
            </w:r>
          </w:p>
        </w:tc>
        <w:tc>
          <w:tcPr>
            <w:tcW w:type="dxa" w:w="4320"/>
          </w:tcPr>
          <w:p>
            <w:r>
              <w:t>Researcher contributes 10–15 hours of input and review — writing, formatting, and coordination handled</w:t>
            </w:r>
          </w:p>
        </w:tc>
      </w:tr>
      <w:tr>
        <w:tc>
          <w:tcPr>
            <w:tcW w:type="dxa" w:w="4320"/>
          </w:tcPr>
          <w:p>
            <w:r>
              <w:t>Collaborator biosketches and support letters arrive at the last minute, causing frantic final-night compilation</w:t>
            </w:r>
          </w:p>
        </w:tc>
        <w:tc>
          <w:tcPr>
            <w:tcW w:type="dxa" w:w="4320"/>
          </w:tcPr>
          <w:p>
            <w:r>
              <w:t>All supporting documents collected, formatted, and compiled weeks before submission — calm, not chaotic</w:t>
            </w:r>
          </w:p>
        </w:tc>
      </w:tr>
      <w:tr>
        <w:tc>
          <w:tcPr>
            <w:tcW w:type="dxa" w:w="4320"/>
          </w:tcPr>
          <w:p>
            <w:r>
              <w:t>Proposal submitted without a compliance check, rejected on a technical formatting error</w:t>
            </w:r>
          </w:p>
        </w:tc>
        <w:tc>
          <w:tcPr>
            <w:tcW w:type="dxa" w:w="4320"/>
          </w:tcPr>
          <w:p>
            <w:r>
              <w:t>Final package reviewed against every requirement — submitted with confidence it clears the technical threshold</w:t>
            </w:r>
          </w:p>
        </w:tc>
      </w:tr>
    </w:tbl>
    <w:p/>
    <w:p>
      <w:pPr>
        <w:pStyle w:val="Heading3"/>
      </w:pPr>
      <w:r>
        <w:t>WHO YOU SERVE</w:t>
      </w:r>
    </w:p>
    <w:p>
      <w:r>
        <w:t>Professors, research scientists, and postdoctoral researchers at universities and academic medical centres who need external funding to sustain or expand their research programme. They carry a full teaching and administrative load on top of their research responsibilities, which makes writing a 60–80 hour grant proposal practically impossible without support. You also serve programme directors at non-profit organisations and international development agencies who submit competitive proposals to government funders, foundations, and bilateral donors to fund their programme work.</w:t>
      </w:r>
    </w:p>
    <w:p>
      <w:pPr>
        <w:pStyle w:val="Heading3"/>
      </w:pPr>
      <w:r>
        <w:t>THE GUARANTEE</w:t>
      </w:r>
    </w:p>
    <w:p>
      <w:r>
        <w:rPr>
          <w:b/>
        </w:rPr>
        <w:t>If your proposal is not submission-ready by your deadline, I redo it at no extra cost.</w:t>
      </w:r>
    </w:p>
    <w:p>
      <w:r>
        <w:br w:type="page"/>
      </w:r>
    </w:p>
    <w:p>
      <w:pPr>
        <w:pStyle w:val="Heading2"/>
      </w:pPr>
      <w:r>
        <w:t>OFFER 2B — For Indian Researchers, Faculty &amp; NGO Directors Applying for SERB, DST, ICMR &amp; International Foundation Grants</w:t>
      </w:r>
    </w:p>
    <w:p>
      <w:pPr>
        <w:spacing w:before="120" w:after="280"/>
      </w:pPr>
      <w:r>
        <w:rPr>
          <w:b/>
          <w:i/>
          <w:sz w:val="23"/>
        </w:rPr>
        <w:t>“I Help Indian Researchers and NGO Directors Write SERB, DST, ICMR, and International Foundation Grant Proposals That Win Funding — If Your Proposal Is Not Submission-Ready by Your Deadline, I Redo It at No Extra Cost”</w:t>
      </w:r>
    </w:p>
    <w:p>
      <w:pPr>
        <w:pStyle w:val="Heading3"/>
      </w:pPr>
      <w:r>
        <w:t>WHAT YOU WILL DELIVER</w:t>
      </w:r>
    </w:p>
    <w:p>
      <w:pPr>
        <w:pStyle w:val="Heading4"/>
      </w:pPr>
      <w:r>
        <w:t>1. Funding Agency Research &amp; Strategic Alignment</w:t>
      </w:r>
    </w:p>
    <w:p>
      <w:pPr>
        <w:pStyle w:val="ListBullet"/>
      </w:pPr>
      <w:r>
        <w:t>Research and identify the top 5–8 funding agencies and grant programmes that best match the client’s research focus, institution type, and project scope — SERB, DST, ICMR, DBT, BIRAC, CSIR, ICAR, Bill &amp; Melinda Gates Foundation, Wellcome Trust/DBT India Alliance, and private CSR foundations</w:t>
      </w:r>
    </w:p>
    <w:p>
      <w:pPr>
        <w:pStyle w:val="ListBullet"/>
      </w:pPr>
      <w:r>
        <w:t>Cross-reference the client’s research priorities with each agency’s current strategic funding agenda — identifying where their work aligns with what the current funding cycle is actively supporting</w:t>
      </w:r>
    </w:p>
    <w:p>
      <w:pPr>
        <w:pStyle w:val="ListBullet"/>
      </w:pPr>
      <w:r>
        <w:t>Research recently funded projects in the same field to understand the language, framing, and project scope the agency has already rewarded in this cycle</w:t>
      </w:r>
    </w:p>
    <w:p>
      <w:pPr>
        <w:pStyle w:val="ListBullet"/>
      </w:pPr>
      <w:r>
        <w:t>Shortlist 2–3 best-fit funding opportunities with a written rationale for why each is a strong match for the client’s specific context</w:t>
      </w:r>
    </w:p>
    <w:p>
      <w:pPr>
        <w:pStyle w:val="ListBullet"/>
      </w:pPr>
      <w:r>
        <w:t>Track upcoming call deadlines across multiple agencies so the client never misses a funding window</w:t>
      </w:r>
    </w:p>
    <w:p>
      <w:pPr>
        <w:spacing w:before="80" w:after="280"/>
      </w:pPr>
      <w:r>
        <w:rPr>
          <w:b/>
          <w:i/>
        </w:rPr>
        <w:t xml:space="preserve">How This Helps: </w:t>
      </w:r>
      <w:r>
        <w:rPr>
          <w:i/>
        </w:rPr>
        <w:t>Many Indian researchers apply to funding agencies whose current priorities do not match their research focus — either because they are not tracking the agencies systematically or because they apply to the same one or two agencies by habit. When you map the client’s work against the live funding landscape across all major Indian and international agencies, the proposal is targeted at the funder most likely to be receptive — not just the most well-known one.</w:t>
      </w:r>
    </w:p>
    <w:p>
      <w:pPr>
        <w:pStyle w:val="Heading4"/>
      </w:pPr>
      <w:r>
        <w:t>2. Full Grant Proposal Drafting</w:t>
      </w:r>
    </w:p>
    <w:p>
      <w:pPr>
        <w:pStyle w:val="ListBullet"/>
      </w:pPr>
      <w:r>
        <w:t>Write the Project Summary: a clear, non-technical overview of what the project proposes to do, why it matters in the Indian context, and what measurable outcomes it will produce</w:t>
      </w:r>
    </w:p>
    <w:p>
      <w:pPr>
        <w:pStyle w:val="ListBullet"/>
      </w:pPr>
      <w:r>
        <w:t>Draft the Objectives and Deliverables section: specific, measurable research objectives with a timeline tied to funding milestones</w:t>
      </w:r>
    </w:p>
    <w:p>
      <w:pPr>
        <w:pStyle w:val="ListBullet"/>
      </w:pPr>
      <w:r>
        <w:t>Write the Research Methodology: a detailed, reviewer-appropriate description of the study design, data collection approach, sample, instruments, and analysis plan</w:t>
      </w:r>
    </w:p>
    <w:p>
      <w:pPr>
        <w:pStyle w:val="ListBullet"/>
      </w:pPr>
      <w:r>
        <w:t>Write the Significance and Innovation sections: making the case for why this research is important now, what gap it fills in Indian or global knowledge, and why this team is positioned to do it</w:t>
      </w:r>
    </w:p>
    <w:p>
      <w:pPr>
        <w:pStyle w:val="ListBullet"/>
      </w:pPr>
      <w:r>
        <w:t>Ensure every section follows the funder’s exact formatting and word count requirements — SERB, DST, ICMR, and international foundation formats differ significantly from each other</w:t>
      </w:r>
    </w:p>
    <w:p>
      <w:pPr>
        <w:spacing w:before="80" w:after="280"/>
      </w:pPr>
      <w:r>
        <w:rPr>
          <w:b/>
          <w:i/>
        </w:rPr>
        <w:t xml:space="preserve">How This Helps: </w:t>
      </w:r>
      <w:r>
        <w:rPr>
          <w:i/>
        </w:rPr>
        <w:t>Indian grant proposals are frequently rejected not because the research is weak but because the proposal does not communicate its significance in the language the review committee uses to evaluate proposals. Scientific merit alone is not enough — the proposal must also demonstrate societal relevance, feasibility, and institutional capacity. When you write the proposal in the language and structure the funder’s reviewers are trained to score, the research gets a fair hearing on its merits.</w:t>
      </w:r>
    </w:p>
    <w:p>
      <w:pPr>
        <w:pStyle w:val="Heading4"/>
      </w:pPr>
      <w:r>
        <w:t>3. Budget Development &amp; Justification</w:t>
      </w:r>
    </w:p>
    <w:p>
      <w:pPr>
        <w:pStyle w:val="ListBullet"/>
      </w:pPr>
      <w:r>
        <w:t>Work with the client to develop a realistic project budget within the agency’s permissible cost categories: manpower (research assistants, JRFs, SRFs), equipment, consumables, travel, contingency, and overhead at the permissible rate</w:t>
      </w:r>
    </w:p>
    <w:p>
      <w:pPr>
        <w:pStyle w:val="ListBullet"/>
      </w:pPr>
      <w:r>
        <w:t>Write a detailed budget justification for every line item — explaining precisely why each cost is necessary and tied to a specific research activity</w:t>
      </w:r>
    </w:p>
    <w:p>
      <w:pPr>
        <w:pStyle w:val="ListBullet"/>
      </w:pPr>
      <w:r>
        <w:t>Ensure the budget complies with the funder’s cost norms — including SERB’s specific manpower fellowship rates, DST’s equipment procurement policies, and ICMR’s overhead caps</w:t>
      </w:r>
    </w:p>
    <w:p>
      <w:pPr>
        <w:pStyle w:val="ListBullet"/>
      </w:pPr>
      <w:r>
        <w:t>Flag items that require special justification or committee approval and prepare the supporting documentation</w:t>
      </w:r>
    </w:p>
    <w:p>
      <w:pPr>
        <w:spacing w:before="80" w:after="280"/>
      </w:pPr>
      <w:r>
        <w:rPr>
          <w:b/>
          <w:i/>
        </w:rPr>
        <w:t xml:space="preserve">How This Helps: </w:t>
      </w:r>
      <w:r>
        <w:rPr>
          <w:i/>
        </w:rPr>
        <w:t>Indian funding agencies have very specific rules about what can and cannot be budgeted, and at what rates. A budget that includes costs the agency does not allow — or that requests fellowship rates above the agency’s approved scale — will be flagged immediately by the review committee. A correctly structured budget signals that the PI understands the agency’s procedures and will manage the grant without administrative complications.</w:t>
      </w:r>
    </w:p>
    <w:p>
      <w:pPr>
        <w:pStyle w:val="Heading4"/>
      </w:pPr>
      <w:r>
        <w:t>4. CV, Biosketch &amp; Supporting Document Coordination</w:t>
      </w:r>
    </w:p>
    <w:p>
      <w:pPr>
        <w:pStyle w:val="ListBullet"/>
      </w:pPr>
      <w:r>
        <w:t>Write or update the PI’s academic CV in the format required by the specific funding agency — SERB, DST, and international foundations each have distinct requirements</w:t>
      </w:r>
    </w:p>
    <w:p>
      <w:pPr>
        <w:pStyle w:val="ListBullet"/>
      </w:pPr>
      <w:r>
        <w:t>Draft the personal statement or research background section connecting the PI’s track record to the proposed project</w:t>
      </w:r>
    </w:p>
    <w:p>
      <w:pPr>
        <w:pStyle w:val="ListBullet"/>
      </w:pPr>
      <w:r>
        <w:t>Coordinate with co-investigators and collaborating institutions to collect their CVs, institutional support letters, and ethics clearance documents</w:t>
      </w:r>
    </w:p>
    <w:p>
      <w:pPr>
        <w:pStyle w:val="ListBullet"/>
      </w:pPr>
      <w:r>
        <w:t>Prepare letter of intent and letter of support templates for institutional endorsements, collaborating universities, and community partners</w:t>
      </w:r>
    </w:p>
    <w:p>
      <w:pPr>
        <w:pStyle w:val="ListBullet"/>
      </w:pPr>
      <w:r>
        <w:t>Compile all required attachments: ethics clearances, utilisation certificates from previous grants, MOU documents, and institutional facilities statements</w:t>
      </w:r>
    </w:p>
    <w:p>
      <w:pPr>
        <w:spacing w:before="80" w:after="280"/>
      </w:pPr>
      <w:r>
        <w:rPr>
          <w:b/>
          <w:i/>
        </w:rPr>
        <w:t xml:space="preserve">How This Helps: </w:t>
      </w:r>
      <w:r>
        <w:rPr>
          <w:i/>
        </w:rPr>
        <w:t>Indian grant applications require institutional coordination that goes well beyond the proposal document itself. Ethics clearances, MOU agreements, utilisation certificates from previous grants, and departmental endorsements all have to be compiled before submission — and delays in any one document can invalidate an otherwise strong application. When you own this coordination, the researcher focuses on the science and the review process, not on chasing paperwork.</w:t>
      </w:r>
    </w:p>
    <w:p>
      <w:pPr>
        <w:pStyle w:val="Heading4"/>
      </w:pPr>
      <w:r>
        <w:t>5. Pre-Submission Compliance Review &amp; Final Package Assembly</w:t>
      </w:r>
    </w:p>
    <w:p>
      <w:pPr>
        <w:pStyle w:val="ListBullet"/>
      </w:pPr>
      <w:r>
        <w:t>Review the complete proposal package against the specific agency’s guidelines — every section, attachment, word limit, declaration, and format requirement checked against the official call document</w:t>
      </w:r>
    </w:p>
    <w:p>
      <w:pPr>
        <w:pStyle w:val="ListBullet"/>
      </w:pPr>
      <w:r>
        <w:t>Verify internal consistency: that the objectives, methodology, timeline, and budget all align and tell the same story</w:t>
      </w:r>
    </w:p>
    <w:p>
      <w:pPr>
        <w:pStyle w:val="ListBullet"/>
      </w:pPr>
      <w:r>
        <w:t>Check all references are complete and correctly formatted</w:t>
      </w:r>
    </w:p>
    <w:p>
      <w:pPr>
        <w:pStyle w:val="ListBullet"/>
      </w:pPr>
      <w:r>
        <w:t>Deliver the final submission package ready for upload to the agency portal — SERB’s online submission system, DST’s portal, ICMR’s portal, or the international foundation’s submission platform</w:t>
      </w:r>
    </w:p>
    <w:p>
      <w:pPr>
        <w:pStyle w:val="ListBullet"/>
      </w:pPr>
      <w:r>
        <w:t>Provide a written submission readiness checklist confirming every requirement has been met</w:t>
      </w:r>
    </w:p>
    <w:p>
      <w:pPr>
        <w:spacing w:before="80" w:after="280"/>
      </w:pPr>
      <w:r>
        <w:rPr>
          <w:b/>
          <w:i/>
        </w:rPr>
        <w:t xml:space="preserve">How This Helps: </w:t>
      </w:r>
      <w:r>
        <w:rPr>
          <w:i/>
        </w:rPr>
        <w:t>Each Indian funding agency has its own online submission system with its own technical requirements — file formats, upload limits, mandatory fields, and declaration checkboxes. A proposal that is scientifically strong but submitted incorrectly or incompletely is rejected at the portal stage before it ever reaches a reviewer. A final compliance review eliminates this risk entirely.</w:t>
      </w:r>
    </w:p>
    <w:p>
      <w:pPr>
        <w:pStyle w:val="Heading3"/>
      </w:pPr>
      <w:r>
        <w:t>WHAT LIFE LOOKS LIKE BEFORE vs. AFTER</w:t>
      </w:r>
    </w:p>
    <w:tbl>
      <w:tblPr>
        <w:tblStyle w:val="TableGrid"/>
        <w:tblW w:type="auto" w:w="0"/>
        <w:tblLook w:firstColumn="1" w:firstRow="1" w:lastColumn="0" w:lastRow="0" w:noHBand="0" w:noVBand="1" w:val="04A0"/>
      </w:tblPr>
      <w:tblGrid>
        <w:gridCol w:w="4320"/>
        <w:gridCol w:w="4320"/>
      </w:tblGrid>
      <w:tr>
        <w:tc>
          <w:tcPr>
            <w:tcW w:type="dxa" w:w="4320"/>
          </w:tcPr>
          <w:p>
            <w:r>
              <w:rPr>
                <w:b/>
              </w:rPr>
              <w:t>BEFORE Working With You</w:t>
            </w:r>
          </w:p>
        </w:tc>
        <w:tc>
          <w:tcPr>
            <w:tcW w:type="dxa" w:w="4320"/>
          </w:tcPr>
          <w:p>
            <w:r>
              <w:rPr>
                <w:b/>
              </w:rPr>
              <w:t>AFTER Working With You</w:t>
            </w:r>
          </w:p>
        </w:tc>
      </w:tr>
      <w:tr>
        <w:tc>
          <w:tcPr>
            <w:tcW w:type="dxa" w:w="4320"/>
          </w:tcPr>
          <w:p>
            <w:r>
              <w:t>Researcher applies to the same 1–2 agencies every cycle without checking if current priorities match — and gets rejected</w:t>
            </w:r>
          </w:p>
        </w:tc>
        <w:tc>
          <w:tcPr>
            <w:tcW w:type="dxa" w:w="4320"/>
          </w:tcPr>
          <w:p>
            <w:r>
              <w:t>Full funding landscape mapped across SERB, DST, ICMR, DBT, and international foundations — proposal goes to the best-fit agency</w:t>
            </w:r>
          </w:p>
        </w:tc>
      </w:tr>
      <w:tr>
        <w:tc>
          <w:tcPr>
            <w:tcW w:type="dxa" w:w="4320"/>
          </w:tcPr>
          <w:p>
            <w:r>
              <w:t>Proposal narrative is technically sound but does not communicate societal relevance — review committee rates it low on impact</w:t>
            </w:r>
          </w:p>
        </w:tc>
        <w:tc>
          <w:tcPr>
            <w:tcW w:type="dxa" w:w="4320"/>
          </w:tcPr>
          <w:p>
            <w:r>
              <w:t>Every section written in the language the agency’s review committee uses to evaluate significance and feasibility</w:t>
            </w:r>
          </w:p>
        </w:tc>
      </w:tr>
      <w:tr>
        <w:tc>
          <w:tcPr>
            <w:tcW w:type="dxa" w:w="4320"/>
          </w:tcPr>
          <w:p>
            <w:r>
              <w:t>Budget includes costs outside the agency’s permissible categories — flagged immediately by the committee</w:t>
            </w:r>
          </w:p>
        </w:tc>
        <w:tc>
          <w:tcPr>
            <w:tcW w:type="dxa" w:w="4320"/>
          </w:tcPr>
          <w:p>
            <w:r>
              <w:t>Budget built within the agency’s exact cost norms — fellowship rates, overhead caps, and equipment policies all compliant</w:t>
            </w:r>
          </w:p>
        </w:tc>
      </w:tr>
      <w:tr>
        <w:tc>
          <w:tcPr>
            <w:tcW w:type="dxa" w:w="4320"/>
          </w:tcPr>
          <w:p>
            <w:r>
              <w:t>Utilisation certificates and ethics clearances arrive at the last minute — submission rushed and incomplete</w:t>
            </w:r>
          </w:p>
        </w:tc>
        <w:tc>
          <w:tcPr>
            <w:tcW w:type="dxa" w:w="4320"/>
          </w:tcPr>
          <w:p>
            <w:r>
              <w:t>All institutional documents collected and compiled weeks before the deadline — submission is complete and calm</w:t>
            </w:r>
          </w:p>
        </w:tc>
      </w:tr>
      <w:tr>
        <w:tc>
          <w:tcPr>
            <w:tcW w:type="dxa" w:w="4320"/>
          </w:tcPr>
          <w:p>
            <w:r>
              <w:t>Previous grant applications submitted without a compliance review — rejected on a technical portal error</w:t>
            </w:r>
          </w:p>
        </w:tc>
        <w:tc>
          <w:tcPr>
            <w:tcW w:type="dxa" w:w="4320"/>
          </w:tcPr>
          <w:p>
            <w:r>
              <w:t>Final package reviewed against every requirement — submitted correctly the first time</w:t>
            </w:r>
          </w:p>
        </w:tc>
      </w:tr>
      <w:tr>
        <w:tc>
          <w:tcPr>
            <w:tcW w:type="dxa" w:w="4320"/>
          </w:tcPr>
          <w:p>
            <w:r>
              <w:t>NGO director spends 3–4 weeks writing the proposal alone, while programme work suffers</w:t>
            </w:r>
          </w:p>
        </w:tc>
        <w:tc>
          <w:tcPr>
            <w:tcW w:type="dxa" w:w="4320"/>
          </w:tcPr>
          <w:p>
            <w:r>
              <w:t>Director contributes key inputs — writing, formatting, compliance, and coordination handled for them</w:t>
            </w:r>
          </w:p>
        </w:tc>
      </w:tr>
    </w:tbl>
    <w:p/>
    <w:p>
      <w:pPr>
        <w:pStyle w:val="Heading3"/>
      </w:pPr>
      <w:r>
        <w:t>WHO YOU SERVE</w:t>
      </w:r>
    </w:p>
    <w:p>
      <w:r>
        <w:t>Faculty members and research scientists at Indian universities and research institutes — IITs, IISc, AIIMS, central universities, state universities, and autonomous institutes — who are applying for their first major research grant or managing a portfolio of active grants that need renewal. They understand the research they want to do but find the proposal writing process time-consuming, unfamiliar in structure, or difficult to frame compellingly for a review committee. You also serve programme directors at Indian NGOs, social enterprises, and development organisations who regularly apply for CSR grants, government scheme funding, or international foundation grants and need professional proposal writing support to compete with larger, better-resourced applicants.</w:t>
      </w:r>
    </w:p>
    <w:p>
      <w:pPr>
        <w:pStyle w:val="Heading3"/>
      </w:pPr>
      <w:r>
        <w:t>THE GUARANTEE</w:t>
      </w:r>
    </w:p>
    <w:p>
      <w:r>
        <w:rPr>
          <w:b/>
        </w:rPr>
        <w:t>If your proposal is not submission-ready by your deadline, I redo it at no extra cost.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