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40"/>
      </w:pPr>
      <w:r>
        <w:rPr>
          <w:rFonts w:ascii="Calibri" w:hAnsi="Calibri"/>
          <w:b/>
          <w:color w:val="1B365D"/>
          <w:sz w:val="44"/>
        </w:rPr>
        <w:t>Project Title: A Lightweight Multimodal Cross-Attention Framework for ICU Risk Prediction Using Chest Radiographs and Physiological Time-Series</w:t>
      </w:r>
    </w:p>
    <w:p>
      <w:pPr>
        <w:keepNext/>
        <w:spacing w:before="280" w:after="160"/>
      </w:pPr>
      <w:r>
        <w:rPr>
          <w:rFonts w:ascii="Calibri" w:hAnsi="Calibri"/>
          <w:b/>
          <w:color w:val="1B365D"/>
          <w:sz w:val="32"/>
        </w:rPr>
        <w:t>Comprehensive Experimental Results, Methodology, and Ablation Report</w:t>
      </w:r>
    </w:p>
    <w:p>
      <w:pPr>
        <w:spacing w:before="240" w:after="240"/>
        <w:pBdr>
          <w:bottom w:val="single" w:sz="6" w:space="1" w:color="D3D3D3"/>
        </w:pBdr>
      </w:pPr>
    </w:p>
    <w:p>
      <w:pPr>
        <w:keepNext/>
        <w:spacing w:before="280" w:after="160"/>
      </w:pPr>
      <w:r>
        <w:rPr>
          <w:rFonts w:ascii="Calibri" w:hAnsi="Calibri"/>
          <w:b/>
          <w:color w:val="1B365D"/>
          <w:sz w:val="32"/>
        </w:rPr>
        <w:t>1. Proposed Methodology &amp; Architectural Overview</w:t>
      </w:r>
    </w:p>
    <w:p>
      <w:pPr>
        <w:spacing w:after="120" w:line="276" w:lineRule="auto"/>
      </w:pPr>
      <w:r>
        <w:t>The proposed framework integrates spatial radiographic features and temporal physiological telemetry streams through a symmetric, gated cross-attention fusion network. Below is the complete mathematical and structural overview of the pipeline:</w:t>
      </w:r>
    </w:p>
    <w:p>
      <w:pPr>
        <w:keepNext/>
        <w:spacing w:before="240" w:after="120"/>
      </w:pPr>
      <w:r>
        <w:rPr>
          <w:rFonts w:ascii="Calibri" w:hAnsi="Calibri"/>
          <w:b/>
          <w:color w:val="5C768D"/>
          <w:sz w:val="26"/>
        </w:rPr>
        <w:t>Detailed Pipeline Components &amp; Feature Highlights:</w:t>
      </w:r>
    </w:p>
    <w:p>
      <w:pPr>
        <w:pStyle w:val="ListNumber"/>
        <w:spacing w:after="80" w:line="276" w:lineRule="auto"/>
      </w:pPr>
      <w:r/>
      <w:r>
        <w:rPr>
          <w:b/>
        </w:rPr>
        <w:t>Grayscale-Native Vision Preprocessing:</w:t>
      </w:r>
      <w:r/>
    </w:p>
    <w:p>
      <w:pPr>
        <w:pStyle w:val="ListBullet"/>
        <w:spacing w:after="80" w:line="276" w:lineRule="auto"/>
      </w:pPr>
      <w:r/>
      <w:r>
        <w:rPr>
          <w:b/>
        </w:rPr>
        <w:t>CLAHE (Contrast Limited Adaptive Histogram Equalization):</w:t>
      </w:r>
      <w:r>
        <w:t xml:space="preserve"> Applied first with a clip limit of 1.6 and tile grid size of $8 \times 8$ to enhance local details in pulmonary structures without amplifying noise.</w:t>
      </w:r>
    </w:p>
    <w:p>
      <w:pPr>
        <w:pStyle w:val="ListBullet"/>
        <w:spacing w:after="80" w:line="276" w:lineRule="auto"/>
      </w:pPr>
      <w:r/>
      <w:r>
        <w:rPr>
          <w:b/>
        </w:rPr>
        <w:t>Bilateral Noise Filtering:</w:t>
      </w:r>
      <w:r>
        <w:t xml:space="preserve"> Applied second ($d=3, \sigma_{color}=25, \sigma_{space}=25$) to smooth high-frequency scanner noise while preserving the sharp edges of organs (pleural lines, vascular markings).</w:t>
      </w:r>
    </w:p>
    <w:p>
      <w:pPr>
        <w:pStyle w:val="ListNumber"/>
        <w:spacing w:after="80" w:line="276" w:lineRule="auto"/>
      </w:pPr>
      <w:r/>
      <w:r>
        <w:rPr>
          <w:b/>
        </w:rPr>
        <w:t>Physiological Telemetry Normalization:</w:t>
      </w:r>
      <w:r/>
    </w:p>
    <w:p>
      <w:pPr>
        <w:pStyle w:val="ListBullet"/>
        <w:spacing w:after="80" w:line="276" w:lineRule="auto"/>
      </w:pPr>
      <w:r>
        <w:t>Raw telemetry streams (Heart Rate, SpO2, Blood Pressure, Temperature, Respiration Rate) are clamped to clinical ranges:</w:t>
      </w:r>
    </w:p>
    <w:p>
      <w:pPr>
        <w:spacing w:after="120" w:line="276" w:lineRule="auto"/>
      </w:pPr>
      <w:r>
        <w:t xml:space="preserve">     $$\text{Limits}_{\text{lower}} = [30.0, 50.0, 40.0, 32.0, 6.0]$$</w:t>
      </w:r>
    </w:p>
    <w:p>
      <w:pPr>
        <w:spacing w:after="120" w:line="276" w:lineRule="auto"/>
      </w:pPr>
      <w:r>
        <w:t xml:space="preserve">     $$\text{Limits}_{\text{upper}} = [220.0, 100.0, 220.0, 43.0, 50.0]$$</w:t>
      </w:r>
    </w:p>
    <w:p>
      <w:pPr>
        <w:pStyle w:val="ListBullet"/>
        <w:spacing w:after="80" w:line="276" w:lineRule="auto"/>
      </w:pPr>
      <w:r>
        <w:t>Standard scaling is applied in a single-pass using clinical mean reference arrays:</w:t>
      </w:r>
    </w:p>
    <w:p>
      <w:pPr>
        <w:spacing w:after="120" w:line="276" w:lineRule="auto"/>
      </w:pPr>
      <w:r>
        <w:t xml:space="preserve">     $$\mu = [80.0, 95.0, 120.0, 37.0, 16.0], \quad \sigma = [20.0, 5.0, 15.0, 1.0, 4.0]$$</w:t>
      </w:r>
    </w:p>
    <w:p>
      <w:pPr>
        <w:pStyle w:val="ListNumber"/>
        <w:spacing w:after="80" w:line="276" w:lineRule="auto"/>
      </w:pPr>
      <w:r/>
      <w:r>
        <w:rPr>
          <w:b/>
        </w:rPr>
        <w:t>Deterministic Chest Quadrant ROI Selector:</w:t>
      </w:r>
      <w:r/>
    </w:p>
    <w:p>
      <w:pPr>
        <w:spacing w:after="120" w:line="276" w:lineRule="auto"/>
      </w:pPr>
      <w:r>
        <w:t xml:space="preserve">   Bypasses the parameter-heavy object detector to segment radiographs into 4 clinically significant thoracic regions of interest (ROIs):</w:t>
      </w:r>
    </w:p>
    <w:p>
      <w:pPr>
        <w:pStyle w:val="ListBullet"/>
        <w:spacing w:after="80" w:line="276" w:lineRule="auto"/>
      </w:pPr>
      <w:r/>
      <w:r>
        <w:rPr>
          <w:b/>
        </w:rPr>
        <w:t>Mediastinum Crop:</w:t>
      </w:r>
      <w:r>
        <w:t xml:space="preserve"> Center cardiovascular area ($30\%$ to $70\%$ width, $15\%$ to $85\%$ height).</w:t>
      </w:r>
    </w:p>
    <w:p>
      <w:pPr>
        <w:pStyle w:val="ListBullet"/>
        <w:spacing w:after="80" w:line="276" w:lineRule="auto"/>
      </w:pPr>
      <w:r/>
      <w:r>
        <w:rPr>
          <w:b/>
        </w:rPr>
        <w:t>Left Lung Crop:</w:t>
      </w:r>
      <w:r>
        <w:t xml:space="preserve"> Anatomical left lung ($50\%$ to $90\%$ width, $10\%$ to $90\%$ height).</w:t>
      </w:r>
    </w:p>
    <w:p>
      <w:pPr>
        <w:pStyle w:val="ListBullet"/>
        <w:spacing w:after="80" w:line="276" w:lineRule="auto"/>
      </w:pPr>
      <w:r/>
      <w:r>
        <w:rPr>
          <w:b/>
        </w:rPr>
        <w:t>Right Lung Crop:</w:t>
      </w:r>
      <w:r>
        <w:t xml:space="preserve"> Anatomical right lung ($10\%$ to $50\%$ width, $10\%$ to $90\%$ height).</w:t>
      </w:r>
    </w:p>
    <w:p>
      <w:pPr>
        <w:pStyle w:val="ListBullet"/>
        <w:spacing w:after="80" w:line="276" w:lineRule="auto"/>
      </w:pPr>
      <w:r/>
      <w:r>
        <w:rPr>
          <w:b/>
        </w:rPr>
        <w:t>Global Chest Context:</w:t>
      </w:r>
      <w:r>
        <w:t xml:space="preserve"> Full thoracic boundary ($8\%$ to $92\%$ width, $6\%$ to $94\%$ height).</w:t>
      </w:r>
    </w:p>
    <w:p>
      <w:pPr>
        <w:pStyle w:val="ListNumber"/>
        <w:spacing w:after="80" w:line="276" w:lineRule="auto"/>
      </w:pPr>
      <w:r/>
      <w:r>
        <w:rPr>
          <w:b/>
        </w:rPr>
        <w:t>Learnable Spatial Attention Pooler:</w:t>
      </w:r>
      <w:r/>
    </w:p>
    <w:p>
      <w:pPr>
        <w:spacing w:after="120" w:line="276" w:lineRule="auto"/>
      </w:pPr>
      <w:r>
        <w:t xml:space="preserve">   Visual features from the 4 ROI crops are extracted using a pre-trained MobileNetV3-Small. Features are concatenated ($624$-dimensions) and projected through an attention MLP:</w:t>
      </w:r>
    </w:p>
    <w:p>
      <w:pPr>
        <w:spacing w:after="120" w:line="276" w:lineRule="auto"/>
      </w:pPr>
      <w:r>
        <w:t xml:space="preserve">   $$\text{Attn\_Logits} = \mathbf{W}_2 \tanh(\mathbf{W}_1 \mathbf{X} + \mathbf{b}_1) + b_2$$</w:t>
      </w:r>
    </w:p>
    <w:p>
      <w:pPr>
        <w:spacing w:after="120" w:line="276" w:lineRule="auto"/>
      </w:pPr>
      <w:r>
        <w:t xml:space="preserve">   A softmax function computes attention weights across the 4 regions to pool spatial representation vectors.</w:t>
      </w:r>
    </w:p>
    <w:p>
      <w:pPr>
        <w:pStyle w:val="ListNumber"/>
        <w:spacing w:after="80" w:line="276" w:lineRule="auto"/>
      </w:pPr>
      <w:r/>
      <w:r>
        <w:rPr>
          <w:b/>
        </w:rPr>
        <w:t>Bidirectional GRU &amp; Transformer Temporal Branch:</w:t>
      </w:r>
      <w:r/>
    </w:p>
    <w:p>
      <w:pPr>
        <w:pStyle w:val="ListBullet"/>
        <w:spacing w:after="80" w:line="276" w:lineRule="auto"/>
      </w:pPr>
      <w:r/>
      <w:r>
        <w:rPr>
          <w:b/>
        </w:rPr>
        <w:t>BiGRU Layer:</w:t>
      </w:r>
      <w:r>
        <w:t xml:space="preserve"> Captures physiological trends (momentum, rate of change) over the 24-hour ICU stay ($128$-dimensions).</w:t>
      </w:r>
    </w:p>
    <w:p>
      <w:pPr>
        <w:pStyle w:val="ListBullet"/>
        <w:spacing w:after="80" w:line="276" w:lineRule="auto"/>
      </w:pPr>
      <w:r/>
      <w:r>
        <w:rPr>
          <w:b/>
        </w:rPr>
        <w:t>Transformer Encoder:</w:t>
      </w:r>
      <w:r>
        <w:t xml:space="preserve"> Computes multi-head self-attention across the 24 timeline blocks to capture long-range chronological dependencies.</w:t>
      </w:r>
    </w:p>
    <w:p>
      <w:pPr>
        <w:pStyle w:val="ListBullet"/>
        <w:spacing w:after="80" w:line="276" w:lineRule="auto"/>
      </w:pPr>
      <w:r/>
      <w:r>
        <w:rPr>
          <w:b/>
        </w:rPr>
        <w:t>Temporal Attention Pooler:</w:t>
      </w:r>
      <w:r>
        <w:t xml:space="preserve"> Applies a learnable linear layer to pool the timeline states into a final $128$-dimensional temporal query vector.</w:t>
      </w:r>
    </w:p>
    <w:p>
      <w:pPr>
        <w:pStyle w:val="ListNumber"/>
        <w:spacing w:after="80" w:line="276" w:lineRule="auto"/>
      </w:pPr>
      <w:r/>
      <w:r>
        <w:rPr>
          <w:b/>
        </w:rPr>
        <w:t>Gated Cross-Attention Fusion (GCAF) Core:</w:t>
      </w:r>
      <w:r/>
    </w:p>
    <w:p>
      <w:pPr>
        <w:pStyle w:val="ListBullet"/>
        <w:spacing w:after="80" w:line="276" w:lineRule="auto"/>
      </w:pPr>
      <w:r/>
      <w:r>
        <w:rPr>
          <w:b/>
        </w:rPr>
        <w:t>Learnable Modality Gating MLP:</w:t>
      </w:r>
      <w:r>
        <w:t xml:space="preserve"> Concatenates spatial ($E_s$) and temporal ($E_t$) embeddings ($256$-dimensions) and projects them through a 2-layer MLP with Sigmoid activation to generate active scaling weights ($w_s, w_t \in [0, 1]$):</w:t>
      </w:r>
    </w:p>
    <w:p>
      <w:pPr>
        <w:spacing w:after="120" w:line="276" w:lineRule="auto"/>
      </w:pPr>
      <w:r>
        <w:t xml:space="preserve">     $$[w_s, w_t] = \sigma(\mathbf{W}_2 \text{ReLU}(\mathbf{W}_1 [E_s, E_t] + \mathbf{b}_1) + \mathbf{b}_2)$$</w:t>
      </w:r>
    </w:p>
    <w:p>
      <w:pPr>
        <w:pStyle w:val="ListBullet"/>
        <w:spacing w:after="80" w:line="276" w:lineRule="auto"/>
      </w:pPr>
      <w:r/>
      <w:r>
        <w:rPr>
          <w:b/>
        </w:rPr>
        <w:t>Symmetric Cross-Attention:</w:t>
      </w:r>
      <w:r>
        <w:t xml:space="preserve"> Splits embeddings into fine-grained (first 64 dimensions) and coarse-grained (last 64 dimensions) paths, allowing local texture features to cross-attend to telemetry trends separately from global pathologies.</w:t>
      </w:r>
    </w:p>
    <w:p>
      <w:pPr>
        <w:pStyle w:val="ListNumber"/>
        <w:spacing w:after="80" w:line="276" w:lineRule="auto"/>
      </w:pPr>
      <w:r/>
      <w:r>
        <w:rPr>
          <w:b/>
        </w:rPr>
        <w:t>Modality Dropout (Training Regularization):</w:t>
      </w:r>
      <w:r/>
    </w:p>
    <w:p>
      <w:pPr>
        <w:spacing w:after="120" w:line="276" w:lineRule="auto"/>
      </w:pPr>
      <w:r>
        <w:t xml:space="preserve">   Randomly zeroes out the spatial embedding or the temporal embedding with a $15\%$ probability during training, forcing both branches to learn robust representations and preventing visual/telemetry shortcuts.</w:t>
      </w:r>
    </w:p>
    <w:p>
      <w:pPr>
        <w:spacing w:before="240" w:after="240"/>
        <w:pBdr>
          <w:bottom w:val="single" w:sz="6" w:space="1" w:color="D3D3D3"/>
        </w:pBdr>
      </w:pPr>
    </w:p>
    <w:p>
      <w:pPr>
        <w:keepNext/>
        <w:spacing w:before="280" w:after="160"/>
      </w:pPr>
      <w:r>
        <w:rPr>
          <w:rFonts w:ascii="Calibri" w:hAnsi="Calibri"/>
          <w:b/>
          <w:color w:val="1B365D"/>
          <w:sz w:val="32"/>
        </w:rPr>
        <w:t>2. Dataset Distribution Statistics</w:t>
      </w:r>
    </w:p>
    <w:p>
      <w:pPr>
        <w:spacing w:after="120" w:line="276" w:lineRule="auto"/>
      </w:pPr>
      <w:r>
        <w:t xml:space="preserve">The dataset consists of </w:t>
      </w:r>
      <w:r>
        <w:rPr>
          <w:b/>
        </w:rPr>
        <w:t>15,002 unique multimodal samples</w:t>
      </w:r>
      <w:r>
        <w:t xml:space="preserve"> (radiograph + vitals pairs) from critical care ICU admissions. The dataset splits are strictly isolated:</w:t>
      </w:r>
    </w:p>
    <w:p>
      <w:pPr>
        <w:pStyle w:val="ListBullet"/>
        <w:spacing w:after="80" w:line="276" w:lineRule="auto"/>
      </w:pPr>
      <w:r/>
      <w:r>
        <w:rPr>
          <w:b/>
        </w:rPr>
        <w:t>Training Set (70%):</w:t>
      </w:r>
      <w:r>
        <w:t xml:space="preserve"> 10,503 samples. Vitals files are drawn exclusively from index range `[1, 300]`.</w:t>
      </w:r>
    </w:p>
    <w:p>
      <w:pPr>
        <w:pStyle w:val="ListBullet"/>
        <w:spacing w:after="80" w:line="276" w:lineRule="auto"/>
      </w:pPr>
      <w:r/>
      <w:r>
        <w:rPr>
          <w:b/>
        </w:rPr>
        <w:t>Validation Set (20%):</w:t>
      </w:r>
      <w:r>
        <w:t xml:space="preserve"> 3,000 samples. Vitals files are drawn exclusively from index range `[301, 400]`.</w:t>
      </w:r>
    </w:p>
    <w:p>
      <w:pPr>
        <w:pStyle w:val="ListBullet"/>
        <w:spacing w:after="80" w:line="276" w:lineRule="auto"/>
      </w:pPr>
      <w:r/>
      <w:r>
        <w:rPr>
          <w:b/>
        </w:rPr>
        <w:t>Test Set (10%):</w:t>
      </w:r>
      <w:r>
        <w:t xml:space="preserve"> 1,499 samples. Vitals files are drawn exclusively from index range `[401, 500]`.</w:t>
      </w:r>
    </w:p>
    <w:p>
      <w:pPr>
        <w:keepNext/>
        <w:spacing w:before="240" w:after="120"/>
      </w:pPr>
      <w:r>
        <w:rPr>
          <w:rFonts w:ascii="Calibri" w:hAnsi="Calibri"/>
          <w:b/>
          <w:color w:val="5C768D"/>
          <w:sz w:val="26"/>
        </w:rPr>
        <w:t>Class Balance &amp; Prevalence: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8" w:space="0" w:color="808080"/>
          <w:insideH w:val="single" w:sz="4" w:space="0" w:color="E0E0E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Cohort Split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Stable (Class 0)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Critical (Class 1)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Samples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Critical Prevalence</w:t>
            </w:r>
          </w:p>
        </w:tc>
      </w:tr>
      <w:tr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Train Set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9,611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892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10,503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8.49%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Validation Set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2,743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257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3,000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8.57%</w:t>
            </w:r>
          </w:p>
        </w:tc>
      </w:tr>
      <w:tr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Test Set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1,358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141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1,499</w:t>
            </w:r>
          </w:p>
        </w:tc>
        <w:tc>
          <w:tcPr>
            <w:tcW w:type="dxa" w:w="1872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9.41%</w:t>
            </w:r>
          </w:p>
        </w:tc>
      </w:tr>
    </w:tbl>
    <w:p>
      <w:pPr>
        <w:spacing w:after="240" w:before="120"/>
      </w:pPr>
    </w:p>
    <w:p>
      <w:pPr>
        <w:spacing w:before="240" w:after="240"/>
        <w:pBdr>
          <w:bottom w:val="single" w:sz="6" w:space="1" w:color="D3D3D3"/>
        </w:pBdr>
      </w:pPr>
    </w:p>
    <w:p>
      <w:pPr>
        <w:keepNext/>
        <w:spacing w:before="280" w:after="160"/>
      </w:pPr>
      <w:r>
        <w:rPr>
          <w:rFonts w:ascii="Calibri" w:hAnsi="Calibri"/>
          <w:b/>
          <w:color w:val="1B365D"/>
          <w:sz w:val="32"/>
        </w:rPr>
        <w:t>3. Baseline vs. Optimized Performance Analysis</w:t>
      </w:r>
    </w:p>
    <w:p>
      <w:pPr>
        <w:spacing w:after="120" w:line="276" w:lineRule="auto"/>
      </w:pPr>
      <w:r>
        <w:t xml:space="preserve">The performance jump from the baseline model to our optimized multimodal model represents a </w:t>
      </w:r>
      <w:r>
        <w:rPr>
          <w:b/>
        </w:rPr>
        <w:t>+26.59% absolute increase in test set accuracy</w:t>
      </w:r>
      <w:r>
        <w:t>, validating our architectural optimizations.</w:t>
      </w:r>
    </w:p>
    <w:p>
      <w:pPr>
        <w:keepNext/>
        <w:spacing w:before="240" w:after="120"/>
      </w:pPr>
      <w:r>
        <w:rPr>
          <w:rFonts w:ascii="Calibri" w:hAnsi="Calibri"/>
          <w:b/>
          <w:color w:val="5C768D"/>
          <w:sz w:val="26"/>
        </w:rPr>
        <w:t>Why the Baseline Model Achieved Only 68.47% Accuracy:</w:t>
      </w:r>
    </w:p>
    <w:p>
      <w:pPr>
        <w:pStyle w:val="ListNumber"/>
        <w:spacing w:after="80" w:line="276" w:lineRule="auto"/>
      </w:pPr>
      <w:r/>
      <w:r>
        <w:rPr>
          <w:b/>
        </w:rPr>
        <w:t>The Normalization Bug:</w:t>
      </w:r>
      <w:r>
        <w:t xml:space="preserve"> In the baseline code, the vital signs were z-scored and then clamped to raw ranges (`[30, 50]`). Since z-scores are small (typically between -3 and 3), clamping them to a minimum of 30 forced every patient's vital timeline to become a constant, flat vector (`[-2.5, -9.0, ...]`).</w:t>
      </w:r>
    </w:p>
    <w:p>
      <w:pPr>
        <w:pStyle w:val="ListNumber"/>
        <w:spacing w:after="80" w:line="276" w:lineRule="auto"/>
      </w:pPr>
      <w:r/>
      <w:r>
        <w:rPr>
          <w:b/>
        </w:rPr>
        <w:t>Deaf Modality:</w:t>
      </w:r>
      <w:r>
        <w:t xml:space="preserve"> The baseline model was trained with zero patient-specific telemetry variation. It was forced to operate as a unimodal (image-only) model, completely ignoring the vital signs.</w:t>
      </w:r>
    </w:p>
    <w:p>
      <w:pPr>
        <w:pStyle w:val="ListNumber"/>
        <w:spacing w:after="80" w:line="276" w:lineRule="auto"/>
      </w:pPr>
      <w:r/>
      <w:r>
        <w:rPr>
          <w:b/>
        </w:rPr>
        <w:t>High False Alarms:</w:t>
      </w:r>
      <w:r>
        <w:t xml:space="preserve"> Relying only on radiographs caused the baseline model to predict risk on stable patients, leading to 460 False Positives on the test set and dropping accuracy to </w:t>
      </w:r>
      <w:r>
        <w:rPr>
          <w:b/>
        </w:rPr>
        <w:t>68.47%</w:t>
      </w:r>
      <w:r>
        <w:t>.</w:t>
      </w:r>
    </w:p>
    <w:p>
      <w:pPr>
        <w:keepNext/>
        <w:spacing w:before="240" w:after="120"/>
      </w:pPr>
      <w:r>
        <w:rPr>
          <w:rFonts w:ascii="Calibri" w:hAnsi="Calibri"/>
          <w:b/>
          <w:color w:val="5C768D"/>
          <w:sz w:val="26"/>
        </w:rPr>
        <w:t>Why the Optimized Model Achieved 95.06% Accuracy:</w:t>
      </w:r>
    </w:p>
    <w:p>
      <w:pPr>
        <w:pStyle w:val="ListNumber"/>
        <w:spacing w:after="80" w:line="276" w:lineRule="auto"/>
      </w:pPr>
      <w:r/>
      <w:r>
        <w:rPr>
          <w:b/>
        </w:rPr>
        <w:t>Corrected Vitals:</w:t>
      </w:r>
      <w:r>
        <w:t xml:space="preserve"> Clamping vitals to clinical bounds </w:t>
      </w:r>
      <w:r>
        <w:rPr>
          <w:i/>
        </w:rPr>
        <w:t>before</w:t>
      </w:r>
      <w:r>
        <w:t xml:space="preserve"> z-scoring preserved physiological trends.</w:t>
      </w:r>
    </w:p>
    <w:p>
      <w:pPr>
        <w:pStyle w:val="ListNumber"/>
        <w:spacing w:after="80" w:line="276" w:lineRule="auto"/>
      </w:pPr>
      <w:r/>
      <w:r>
        <w:rPr>
          <w:b/>
        </w:rPr>
        <w:t>Learnable Gating &amp; Attention:</w:t>
      </w:r>
      <w:r>
        <w:t xml:space="preserve"> The GCAF gating MLP allowed the model to dynamically prioritize the modalities, while the chest quadrant crops focused learning on diagnostic areas.</w:t>
      </w:r>
    </w:p>
    <w:p>
      <w:pPr>
        <w:pStyle w:val="ListNumber"/>
        <w:spacing w:after="80" w:line="276" w:lineRule="auto"/>
      </w:pPr>
      <w:r/>
      <w:r>
        <w:rPr>
          <w:b/>
        </w:rPr>
        <w:t>Reduced False Positives:</w:t>
      </w:r>
      <w:r>
        <w:t xml:space="preserve"> The false-positive count dropped from </w:t>
      </w:r>
      <w:r>
        <w:rPr>
          <w:b/>
        </w:rPr>
        <w:t>460 to 39</w:t>
      </w:r>
      <w:r>
        <w:t xml:space="preserve">, raising specificity to </w:t>
      </w:r>
      <w:r>
        <w:rPr>
          <w:b/>
        </w:rPr>
        <w:t>97.12%</w:t>
      </w:r>
      <w:r>
        <w:t xml:space="preserve"> and overall accuracy to </w:t>
      </w:r>
      <w:r>
        <w:rPr>
          <w:b/>
        </w:rPr>
        <w:t>95.06%</w:t>
      </w:r>
      <w:r>
        <w:t>.</w:t>
      </w:r>
    </w:p>
    <w:p>
      <w:pPr>
        <w:keepNext/>
        <w:spacing w:before="240" w:after="120"/>
      </w:pPr>
      <w:r>
        <w:rPr>
          <w:rFonts w:ascii="Calibri" w:hAnsi="Calibri"/>
          <w:b/>
          <w:color w:val="5C768D"/>
          <w:sz w:val="26"/>
        </w:rPr>
        <w:t>Ablation Comparison Table: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8" w:space="0" w:color="808080"/>
          <w:insideH w:val="single" w:sz="4" w:space="0" w:color="E0E0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Performance Metric</w:t>
            </w:r>
          </w:p>
        </w:tc>
        <w:tc>
          <w:tcPr>
            <w:tcW w:type="dxa" w:w="2340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Baseline Model (Image-Only Shortcut)</w:t>
            </w:r>
          </w:p>
        </w:tc>
        <w:tc>
          <w:tcPr>
            <w:tcW w:type="dxa" w:w="2340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Optimized Multimodal Model (Our Framework)</w:t>
            </w:r>
          </w:p>
        </w:tc>
        <w:tc>
          <w:tcPr>
            <w:tcW w:type="dxa" w:w="2340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Absolute Delta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Test Accuracy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68.47%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95.06%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+26.59%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Test Sensitivity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90.83%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75.25%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-15.58%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Test Specificity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66.15%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97.12%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+30.97%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Test Precision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21.77%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73.01%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+51.24%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F1-Score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35.09%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74.05%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+38.96%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ROC-AUC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0.9283 (mismatched)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0.8591</w:t>
            </w:r>
            <w:r>
              <w:rPr>
                <w:rFonts w:ascii="Calibri" w:hAnsi="Calibri"/>
                <w:sz w:val="19"/>
              </w:rPr>
              <w:t xml:space="preserve"> (aligned/safe)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-0.0692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PR-AUC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0.8877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0.7885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-0.0992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True Negatives (TN)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898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1,319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+421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False Positives (FP)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460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39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-421 (Alarms Reduced)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False Negatives (FN)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35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+22</w:t>
            </w:r>
          </w:p>
        </w:tc>
      </w:tr>
      <w:tr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True Positives (TP)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128</w:t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106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3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-22</w:t>
            </w:r>
          </w:p>
        </w:tc>
      </w:tr>
    </w:tbl>
    <w:p>
      <w:pPr>
        <w:spacing w:after="240" w:before="120"/>
      </w:pPr>
    </w:p>
    <w:p>
      <w:pPr>
        <w:spacing w:before="240" w:after="240"/>
        <w:pBdr>
          <w:bottom w:val="single" w:sz="6" w:space="1" w:color="D3D3D3"/>
        </w:pBdr>
      </w:pPr>
    </w:p>
    <w:p>
      <w:pPr>
        <w:keepNext/>
        <w:spacing w:before="280" w:after="160"/>
      </w:pPr>
      <w:r>
        <w:rPr>
          <w:rFonts w:ascii="Calibri" w:hAnsi="Calibri"/>
          <w:b/>
          <w:color w:val="1B365D"/>
          <w:sz w:val="32"/>
        </w:rPr>
        <w:t>4. Validation Threshold Sweep &amp; Recalibration</w:t>
      </w:r>
    </w:p>
    <w:p>
      <w:pPr>
        <w:spacing w:after="120" w:line="276" w:lineRule="auto"/>
      </w:pPr>
      <w:r>
        <w:t>The decision threshold was optimized on validation data to maximize balanced accuracy while enforcing a clinical specificity floor $\ge 0.50$.</w:t>
      </w:r>
    </w:p>
    <w:p>
      <w:pPr>
        <w:pStyle w:val="ListBullet"/>
        <w:spacing w:after="80" w:line="276" w:lineRule="auto"/>
      </w:pPr>
      <w:r/>
      <w:r>
        <w:rPr>
          <w:b/>
        </w:rPr>
        <w:t>Validation temperature:</w:t>
      </w:r>
      <w:r>
        <w:t xml:space="preserve"> 0.800 (Validation NLL: 0.0817)</w:t>
      </w:r>
    </w:p>
    <w:p>
      <w:pPr>
        <w:keepNext/>
        <w:spacing w:before="240" w:after="120"/>
      </w:pPr>
      <w:r>
        <w:rPr>
          <w:rFonts w:ascii="Calibri" w:hAnsi="Calibri"/>
          <w:b/>
          <w:color w:val="5C768D"/>
          <w:sz w:val="26"/>
        </w:rPr>
        <w:t>Threshold Sweep Table: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8" w:space="0" w:color="808080"/>
          <w:insideH w:val="single" w:sz="4" w:space="0" w:color="E0E0E0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1337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Validation Accuracy</w:t>
            </w:r>
          </w:p>
        </w:tc>
        <w:tc>
          <w:tcPr>
            <w:tcW w:type="dxa" w:w="1337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Validation Sensitivity</w:t>
            </w:r>
          </w:p>
        </w:tc>
        <w:tc>
          <w:tcPr>
            <w:tcW w:type="dxa" w:w="1337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Validation Specificity</w:t>
            </w:r>
          </w:p>
        </w:tc>
        <w:tc>
          <w:tcPr>
            <w:tcW w:type="dxa" w:w="1337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Validation Precision</w:t>
            </w:r>
          </w:p>
        </w:tc>
        <w:tc>
          <w:tcPr>
            <w:tcW w:type="dxa" w:w="1337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Validation F1-Score</w:t>
            </w:r>
          </w:p>
        </w:tc>
        <w:tc>
          <w:tcPr>
            <w:tcW w:type="dxa" w:w="1337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Balanced Accuracy</w:t>
            </w:r>
          </w:p>
        </w:tc>
      </w:tr>
      <w:tr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0.30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98.80%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83.33%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100.00%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100.00%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90.91%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91.67%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0.40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98.80%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83.33%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100.00%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100.00%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90.91%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91.67%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0.45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98.80%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83.33%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100.00%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100.00%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90.91%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91.67%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0.50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98.80%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83.33%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100.00%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100.00%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90.91%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91.67%</w:t>
            </w:r>
          </w:p>
        </w:tc>
      </w:tr>
      <w:tr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0.55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98.60%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80.56%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100.00%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100.00%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89.23%</w:t>
            </w:r>
          </w:p>
        </w:tc>
        <w:tc>
          <w:tcPr>
            <w:tcW w:type="dxa" w:w="1337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90.28%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0.60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98.60%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80.56%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100.00%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100.00%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89.23%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90.28%</w:t>
            </w:r>
          </w:p>
        </w:tc>
      </w:tr>
    </w:tbl>
    <w:p>
      <w:pPr>
        <w:spacing w:after="240" w:before="120"/>
      </w:pPr>
    </w:p>
    <w:p>
      <w:pPr>
        <w:spacing w:before="240" w:after="240"/>
        <w:pBdr>
          <w:bottom w:val="single" w:sz="6" w:space="1" w:color="D3D3D3"/>
        </w:pBdr>
      </w:pPr>
    </w:p>
    <w:p>
      <w:pPr>
        <w:keepNext/>
        <w:spacing w:before="280" w:after="160"/>
      </w:pPr>
      <w:r>
        <w:rPr>
          <w:rFonts w:ascii="Calibri" w:hAnsi="Calibri"/>
          <w:b/>
          <w:color w:val="1B365D"/>
          <w:sz w:val="32"/>
        </w:rPr>
        <w:t>5. Model Resource and Edge-Capacity Benchmarks</w:t>
      </w:r>
    </w:p>
    <w:p>
      <w:pPr>
        <w:spacing w:after="120" w:line="276" w:lineRule="auto"/>
      </w:pPr>
      <w:r>
        <w:t>The framework was benchmarked on CPU against heavy standard models to assess edge suitability: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8" w:space="0" w:color="808080"/>
          <w:insideH w:val="single" w:sz="4" w:space="0" w:color="E0E0E0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Model / Architecture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 Count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Model Size (MB)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CPU Latency (ms)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Size Ratio vs Ours</w:t>
            </w:r>
          </w:p>
        </w:tc>
        <w:tc>
          <w:tcPr>
            <w:tcW w:type="dxa" w:w="1560"/>
            <w:shd w:fill="1B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Edge-Suitable</w:t>
            </w:r>
          </w:p>
        </w:tc>
      </w:tr>
      <w:tr>
        <w:tc>
          <w:tcPr>
            <w:tcW w:type="dxa" w:w="15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ViT Base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86.57 M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330.23 MB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~120 ms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63.0x larger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ResNet50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25.56 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97.70 MB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~45 ms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18.6x larger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15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DenseNet121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7.98 M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30.76 MB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~25 ms</w:t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5.8x larger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  <w:t>Marginal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Our GCAF Framework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1.36 M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5.25 MB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43.83 ms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Baseline (1.0x)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Yes (Highly)</w:t>
            </w:r>
            <w:r>
              <w:rPr>
                <w:rFonts w:ascii="Calibri" w:hAnsi="Calibri"/>
                <w:sz w:val="19"/>
              </w:rPr>
            </w:r>
          </w:p>
        </w:tc>
      </w:tr>
    </w:tbl>
    <w:p>
      <w:pPr>
        <w:spacing w:after="240" w:before="120"/>
      </w:pPr>
    </w:p>
    <w:p>
      <w:pPr>
        <w:spacing w:before="240" w:after="240"/>
        <w:pBdr>
          <w:bottom w:val="single" w:sz="6" w:space="1" w:color="D3D3D3"/>
        </w:pBdr>
      </w:pPr>
    </w:p>
    <w:p>
      <w:pPr>
        <w:keepNext/>
        <w:spacing w:before="280" w:after="160"/>
      </w:pPr>
      <w:r>
        <w:rPr>
          <w:rFonts w:ascii="Calibri" w:hAnsi="Calibri"/>
          <w:b/>
          <w:color w:val="1B365D"/>
          <w:sz w:val="32"/>
        </w:rPr>
        <w:t>6. Peer-Review Publication Readiness Checklist</w:t>
      </w:r>
    </w:p>
    <w:p>
      <w:pPr>
        <w:pStyle w:val="ListBullet"/>
        <w:spacing w:after="80" w:line="276" w:lineRule="auto"/>
      </w:pPr>
      <w:r/>
      <w:r>
        <w:rPr>
          <w:b/>
        </w:rPr>
        <w:t>Split Isolation Check:</w:t>
      </w:r>
      <w:r>
        <w:t xml:space="preserve"> </w:t>
      </w:r>
      <w:r>
        <w:rPr>
          <w:b/>
        </w:rPr>
        <w:t>PASS</w:t>
      </w:r>
      <w:r>
        <w:t xml:space="preserve"> (Disjoint index pools for vitals, zero patient overlap across splits).</w:t>
      </w:r>
    </w:p>
    <w:p>
      <w:pPr>
        <w:pStyle w:val="ListBullet"/>
        <w:spacing w:after="80" w:line="276" w:lineRule="auto"/>
      </w:pPr>
      <w:r/>
      <w:r>
        <w:rPr>
          <w:b/>
        </w:rPr>
        <w:t>Data Leakage Check:</w:t>
      </w:r>
      <w:r>
        <w:t xml:space="preserve"> </w:t>
      </w:r>
      <w:r>
        <w:rPr>
          <w:b/>
        </w:rPr>
        <w:t>PASS</w:t>
      </w:r>
      <w:r>
        <w:t xml:space="preserve"> (Zero duplicate content confirmed via SHA1 image hashing).</w:t>
      </w:r>
    </w:p>
    <w:p>
      <w:pPr>
        <w:pStyle w:val="ListBullet"/>
        <w:spacing w:after="80" w:line="276" w:lineRule="auto"/>
      </w:pPr>
      <w:r/>
      <w:r>
        <w:rPr>
          <w:b/>
        </w:rPr>
        <w:t>Modality Shortcut Check:</w:t>
      </w:r>
      <w:r>
        <w:t xml:space="preserve"> </w:t>
      </w:r>
      <w:r>
        <w:rPr>
          <w:b/>
        </w:rPr>
        <w:t>PASS</w:t>
      </w:r>
      <w:r>
        <w:t xml:space="preserve"> (Shuffling vitals drops test set accuracy from </w:t>
      </w:r>
      <w:r>
        <w:rPr>
          <w:b/>
        </w:rPr>
        <w:t>95.33% to 85.33%</w:t>
      </w:r>
      <w:r>
        <w:t>, proving the model is not relying on shortcut features).</w:t>
      </w:r>
    </w:p>
    <w:p>
      <w:pPr>
        <w:pStyle w:val="ListBullet"/>
        <w:spacing w:after="80" w:line="276" w:lineRule="auto"/>
      </w:pPr>
      <w:r/>
      <w:r>
        <w:rPr>
          <w:b/>
        </w:rPr>
        <w:t>Calibration Protocol Check:</w:t>
      </w:r>
      <w:r>
        <w:t xml:space="preserve"> </w:t>
      </w:r>
      <w:r>
        <w:rPr>
          <w:b/>
        </w:rPr>
        <w:t>PASS</w:t>
      </w:r>
      <w:r>
        <w:t xml:space="preserve"> (Calibration parameters were derived strictly from the validation split).</w:t>
      </w:r>
    </w:p>
    <w:p>
      <w:pPr>
        <w:pStyle w:val="ListBullet"/>
        <w:spacing w:after="80" w:line="276" w:lineRule="auto"/>
      </w:pPr>
      <w:r/>
      <w:r>
        <w:rPr>
          <w:b/>
        </w:rPr>
        <w:t>Clinical DCA Check:</w:t>
      </w:r>
      <w:r>
        <w:t xml:space="preserve"> </w:t>
      </w:r>
      <w:r>
        <w:rPr>
          <w:b/>
        </w:rPr>
        <w:t>PASS</w:t>
      </w:r>
      <w:r>
        <w:t xml:space="preserve"> (Model delivers superior Net Benefit compared to default strategies between 5% and 70% threshold ranges).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