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Currency Exchange Rates</w:t>
      </w:r>
    </w:p>
    <w:p>
      <w:pPr>
        <w:pStyle w:val="Subtitle"/>
      </w:pPr>
      <w:r>
        <w:t>Australian Dollar (AUD) — as of 12 August 2026</w:t>
      </w:r>
    </w:p>
    <w:p>
      <w:pPr>
        <w:pStyle w:val="Heading2"/>
      </w:pPr>
      <w:r>
        <w:t>AUD to RMB (Chinese Yuan Renminbi)</w:t>
      </w:r>
    </w:p>
    <w:p>
      <w:pPr/>
      <w:r>
        <w:t>1 Australian Dollar (AUD) = 4.7568 Chinese Yuan Renminbi (CNY)</w:t>
      </w:r>
    </w:p>
    <w:p>
      <w:pPr>
        <w:pStyle w:val="Heading2"/>
      </w:pPr>
      <w:r>
        <w:t>AUD to JPY (Japanese Yen)</w:t>
      </w:r>
    </w:p>
    <w:p>
      <w:pPr/>
      <w:r>
        <w:t>1 Australian Dollar (AUD) = 112.23 Japanese Yen (JPY)</w:t>
      </w:r>
    </w:p>
    <w:p>
      <w:pPr>
        <w:pStyle w:val="Heading2"/>
      </w:pPr>
      <w:r>
        <w:t>Summary Table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290"/>
        <w:gridCol w:w="2985"/>
        <w:gridCol w:w="4085"/>
      </w:tblGrid>
      <w:tr>
        <w:trPr>
          <w:tblHeader w:val="true"/>
        </w:trPr>
        <w:tc>
          <w:tcPr>
            <w:tcW w:type="dxa" w:w="2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202124"/>
                <w:sz w:val="19"/>
              </w:rPr>
              <w:t>From</w:t>
            </w:r>
          </w:p>
        </w:tc>
        <w:tc>
          <w:tcPr>
            <w:tcW w:type="dxa" w:w="29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202124"/>
                <w:sz w:val="19"/>
              </w:rPr>
              <w:t>To</w:t>
            </w:r>
          </w:p>
        </w:tc>
        <w:tc>
          <w:tcPr>
            <w:tcW w:type="dxa" w:w="40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202124"/>
                <w:sz w:val="19"/>
              </w:rPr>
              <w:t>Exchange Rate (1 AUD)</w:t>
            </w:r>
          </w:p>
        </w:tc>
      </w:tr>
      <w:tr>
        <w:tc>
          <w:tcPr>
            <w:tcW w:type="dxa" w:w="2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2124"/>
                <w:sz w:val="19"/>
              </w:rPr>
              <w:t>AUD</w:t>
            </w:r>
          </w:p>
        </w:tc>
        <w:tc>
          <w:tcPr>
            <w:tcW w:type="dxa" w:w="29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2124"/>
                <w:sz w:val="19"/>
              </w:rPr>
              <w:t>CNY (RMB)</w:t>
            </w:r>
          </w:p>
        </w:tc>
        <w:tc>
          <w:tcPr>
            <w:tcW w:type="dxa" w:w="40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2124"/>
                <w:sz w:val="19"/>
              </w:rPr>
              <w:t>4.7568</w:t>
            </w:r>
          </w:p>
        </w:tc>
      </w:tr>
      <w:tr>
        <w:tc>
          <w:tcPr>
            <w:tcW w:type="dxa" w:w="2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2124"/>
                <w:sz w:val="19"/>
              </w:rPr>
              <w:t>AUD</w:t>
            </w:r>
          </w:p>
        </w:tc>
        <w:tc>
          <w:tcPr>
            <w:tcW w:type="dxa" w:w="29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2124"/>
                <w:sz w:val="19"/>
              </w:rPr>
              <w:t>JPY</w:t>
            </w:r>
          </w:p>
        </w:tc>
        <w:tc>
          <w:tcPr>
            <w:tcW w:type="dxa" w:w="40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2124"/>
                <w:sz w:val="19"/>
              </w:rPr>
              <w:t>112.23</w:t>
            </w:r>
          </w:p>
        </w:tc>
      </w:tr>
    </w:tbl>
    <w:p>
      <w:pPr>
        <w:spacing w:after="0"/>
      </w:pPr>
    </w:p>
    <w:p>
      <w:r>
        <w:t>USD to AUD (Australian Dollar)</w:t>
      </w:r>
    </w:p>
    <w:p>
      <w:r>
        <w:t>1 US Dollar (USD) = 1.4174 Australian Dollar (AUD)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6B7280"/>
        <w:sz w:val="18"/>
      </w:rPr>
      <w:t xml:space="preserve">Page </w:t>
    </w:r>
    <w:fldSimple w:instr="PAGE">
      <w:r>
        <w:rPr>
          <w:color w:val="6B7280"/>
          <w:sz w:val="18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120" w:line="264" w:lineRule="auto"/>
      <w:jc w:val="left"/>
    </w:pPr>
    <w:rPr>
      <w:rFonts w:ascii="Calibri" w:hAnsi="Calibri"/>
      <w:b w:val="0"/>
      <w:i w:val="0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 w:line="240" w:lineRule="auto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40" w:lineRule="auto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 w:line="240" w:lineRule="auto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80" w:line="240" w:lineRule="auto" w:before="0"/>
      <w:contextualSpacing/>
      <w:jc w:val="left"/>
    </w:pPr>
    <w:rPr>
      <w:rFonts w:asciiTheme="majorHAnsi" w:eastAsiaTheme="majorEastAsia" w:hAnsiTheme="majorHAnsi" w:cstheme="majorBidi" w:ascii="Calibri" w:hAnsi="Calibri"/>
      <w:b/>
      <w:i w:val="0"/>
      <w:color w:val="1F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360" w:line="240" w:lineRule="auto"/>
      <w:jc w:val="left"/>
    </w:pPr>
    <w:rPr>
      <w:rFonts w:asciiTheme="majorHAnsi" w:eastAsiaTheme="majorEastAsia" w:hAnsiTheme="majorHAnsi" w:cstheme="majorBidi" w:ascii="Calibri" w:hAnsi="Calibri"/>
      <w:b w:val="0"/>
      <w:i/>
      <w:iCs/>
      <w:color w:val="5F636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Currency Exchange Rates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