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Financial Analyst Report</w:t>
      </w:r>
    </w:p>
    <w:p>
      <w:pPr>
        <w:pStyle w:val="Heading1"/>
        <w:jc w:val="center"/>
      </w:pPr>
      <w:r>
        <w:t>Salesforce</w:t>
      </w:r>
    </w:p>
    <w:p>
      <w:pPr>
        <w:jc w:val="center"/>
      </w:pPr>
      <w:r>
        <w:t>Generated: September 25, 2025 at 06:23 PM</w:t>
      </w:r>
    </w:p>
    <w:p/>
    <w:p>
      <w:pPr>
        <w:pStyle w:val="Heading2"/>
      </w:pPr>
      <w:r>
        <w:t>Executive Summary</w:t>
      </w:r>
    </w:p>
    <w:p>
      <w:r>
        <w:t>This report combines key insights from market data, SEC filings, and news sentiment.</w:t>
      </w:r>
    </w:p>
    <w:p>
      <w:pPr>
        <w:pStyle w:val="Heading2"/>
      </w:pPr>
      <w:r>
        <w:t>Key Financial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Metric</w:t>
            </w:r>
          </w:p>
        </w:tc>
        <w:tc>
          <w:tcPr>
            <w:tcW w:type="dxa" w:w="4392"/>
          </w:tcPr>
          <w:p>
            <w:r>
              <w:t>Value</w:t>
            </w:r>
          </w:p>
        </w:tc>
      </w:tr>
      <w:tr>
        <w:tc>
          <w:tcPr>
            <w:tcW w:type="dxa" w:w="4392"/>
          </w:tcPr>
          <w:p>
            <w:r>
              <w:t>Current Price</w:t>
            </w:r>
          </w:p>
        </w:tc>
        <w:tc>
          <w:tcPr>
            <w:tcW w:type="dxa" w:w="4392"/>
          </w:tcPr>
          <w:p>
            <w:r>
              <w:t>245.89</w:t>
            </w:r>
          </w:p>
        </w:tc>
      </w:tr>
      <w:tr>
        <w:tc>
          <w:tcPr>
            <w:tcW w:type="dxa" w:w="4392"/>
          </w:tcPr>
          <w:p>
            <w:r>
              <w:t>Market Cap</w:t>
            </w:r>
          </w:p>
        </w:tc>
        <w:tc>
          <w:tcPr>
            <w:tcW w:type="dxa" w:w="4392"/>
          </w:tcPr>
          <w:p>
            <w:r>
              <w:t>234087284736</w:t>
            </w:r>
          </w:p>
        </w:tc>
      </w:tr>
      <w:tr>
        <w:tc>
          <w:tcPr>
            <w:tcW w:type="dxa" w:w="4392"/>
          </w:tcPr>
          <w:p>
            <w:r>
              <w:t>Pe Ratio</w:t>
            </w:r>
          </w:p>
        </w:tc>
        <w:tc>
          <w:tcPr>
            <w:tcW w:type="dxa" w:w="4392"/>
          </w:tcPr>
          <w:p>
            <w:r>
              <w:t>35.739826</w:t>
            </w:r>
          </w:p>
        </w:tc>
      </w:tr>
      <w:tr>
        <w:tc>
          <w:tcPr>
            <w:tcW w:type="dxa" w:w="4392"/>
          </w:tcPr>
          <w:p>
            <w:r>
              <w:t>Eps</w:t>
            </w:r>
          </w:p>
        </w:tc>
        <w:tc>
          <w:tcPr>
            <w:tcW w:type="dxa" w:w="4392"/>
          </w:tcPr>
          <w:p>
            <w:r>
              <w:t>6.88</w:t>
            </w:r>
          </w:p>
        </w:tc>
      </w:tr>
      <w:tr>
        <w:tc>
          <w:tcPr>
            <w:tcW w:type="dxa" w:w="4392"/>
          </w:tcPr>
          <w:p>
            <w:r>
              <w:t>52 Week High</w:t>
            </w:r>
          </w:p>
        </w:tc>
        <w:tc>
          <w:tcPr>
            <w:tcW w:type="dxa" w:w="4392"/>
          </w:tcPr>
          <w:p>
            <w:r>
              <w:t>369.0</w:t>
            </w:r>
          </w:p>
        </w:tc>
      </w:tr>
      <w:tr>
        <w:tc>
          <w:tcPr>
            <w:tcW w:type="dxa" w:w="4392"/>
          </w:tcPr>
          <w:p>
            <w:r>
              <w:t>52 Week Low</w:t>
            </w:r>
          </w:p>
        </w:tc>
        <w:tc>
          <w:tcPr>
            <w:tcW w:type="dxa" w:w="4392"/>
          </w:tcPr>
          <w:p>
            <w:r>
              <w:t>226.48</w:t>
            </w:r>
          </w:p>
        </w:tc>
      </w:tr>
    </w:tbl>
    <w:p/>
    <w:p>
      <w:pPr>
        <w:pStyle w:val="Heading2"/>
      </w:pPr>
      <w:r>
        <w:t>Key Business Risks</w:t>
      </w:r>
    </w:p>
    <w:p/>
    <w:p>
      <w:pPr>
        <w:pStyle w:val="Heading2"/>
      </w:pPr>
      <w:r>
        <w:t>Market Performance Summary</w:t>
      </w:r>
    </w:p>
    <w:p>
      <w:r>
        <w:t>Current Price: **245.89** | Market Cap: **234087284736** | P/E Ratio: **35.739826**</w:t>
      </w:r>
    </w:p>
    <w:p>
      <w:pPr>
        <w:pStyle w:val="Heading2"/>
      </w:pPr>
      <w:r>
        <w:t>Recent News &amp; Catalysts</w:t>
      </w:r>
    </w:p>
    <w:p>
      <w:r>
        <w:t>Recent developments include:</w:t>
      </w:r>
    </w:p>
    <w:p>
      <w:pPr>
        <w:pStyle w:val="ListBullet"/>
      </w:pPr>
      <w:r>
        <w:t>• Salesforce (CRM) Price Target Raised as AI Growth and Buybacks Impress Analysts</w:t>
      </w:r>
    </w:p>
    <w:p>
      <w:pPr>
        <w:pStyle w:val="ListBullet"/>
      </w:pPr>
      <w:r>
        <w:t>• Goldman Warns: Enjoy The Market Calm While It Lasts—October Chaos Is Coming</w:t>
      </w:r>
    </w:p>
    <w:p/>
    <w:p>
      <w:pPr>
        <w:pStyle w:val="Heading2"/>
      </w:pPr>
      <w:r>
        <w:t>Disclaimer</w:t>
      </w:r>
    </w:p>
    <w:p>
      <w:r>
        <w:t>This report is for informational purposes only and should not be considered investment advice. Consult a qualified financial advisor before making decisions.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