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b/>
          <w:color w:val="1F4E79"/>
          <w:sz w:val="48"/>
        </w:rPr>
        <w:t>Financial Analysis Report</w:t>
      </w:r>
    </w:p>
    <w:p>
      <w:pPr>
        <w:jc w:val="center"/>
      </w:pPr>
      <w:r>
        <w:rPr>
          <w:rFonts w:ascii="Arial" w:hAnsi="Arial"/>
          <w:b/>
          <w:color w:val="E74C3C"/>
          <w:sz w:val="40"/>
        </w:rPr>
        <w:t>Salesforce</w:t>
      </w:r>
    </w:p>
    <w:p>
      <w:pPr>
        <w:jc w:val="center"/>
      </w:pPr>
      <w:r>
        <w:rPr>
          <w:rFonts w:ascii="Arial" w:hAnsi="Arial"/>
          <w:i/>
          <w:color w:val="7F8C8D"/>
          <w:sz w:val="20"/>
        </w:rPr>
        <w:t>Generated: September 27, 2025 at 07:17 PM</w:t>
      </w:r>
    </w:p>
    <w:p/>
    <w:p>
      <w:r>
        <w:rPr>
          <w:rFonts w:ascii="Arial" w:hAnsi="Arial"/>
          <w:b/>
          <w:color w:val="34495E"/>
          <w:sz w:val="32"/>
        </w:rPr>
        <w:t>📊 Executive Summary</w:t>
      </w:r>
    </w:p>
    <w:p>
      <w:r>
        <w:rPr>
          <w:rFonts w:ascii="Arial" w:hAnsi="Arial"/>
          <w:sz w:val="22"/>
        </w:rPr>
        <w:t>This comprehensive financial analysis synthesizes insights from SEC filings, real-time market data, and current news sentiment to provide actionable investment intelligence.</w:t>
      </w:r>
    </w:p>
    <w:p>
      <w:r>
        <w:rPr>
          <w:rFonts w:ascii="Arial" w:hAnsi="Arial"/>
          <w:b/>
          <w:color w:val="34495E"/>
          <w:sz w:val="32"/>
        </w:rPr>
        <w:t>💰 Key Financial Metrics</w:t>
      </w:r>
    </w:p>
    <w:tbl>
      <w:tblPr>
        <w:tblStyle w:val="TableGrid"/>
        <w:tblW w:type="auto" w:w="0"/>
        <w:tblLook w:firstColumn="1" w:firstRow="1" w:lastColumn="0" w:lastRow="0" w:noHBand="0" w:noVBand="1" w:val="04A0"/>
      </w:tblPr>
      <w:tblGrid>
        <w:gridCol w:w="4320"/>
        <w:gridCol w:w="4320"/>
      </w:tblGrid>
      <w:tr>
        <w:tc>
          <w:tcPr>
            <w:tcW w:type="dxa" w:w="4320"/>
            <w:shd w:val="clear" w:color="auto" w:fill="1F4E79"/>
          </w:tcPr>
          <w:p>
            <w:r>
              <w:rPr>
                <w:rFonts w:ascii="Arial" w:hAnsi="Arial"/>
                <w:b/>
              </w:rPr>
              <w:t>Metric</w:t>
            </w:r>
          </w:p>
        </w:tc>
        <w:tc>
          <w:tcPr>
            <w:tcW w:type="dxa" w:w="4320"/>
            <w:shd w:val="clear" w:color="auto" w:fill="1F4E79"/>
          </w:tcPr>
          <w:p>
            <w:r>
              <w:rPr>
                <w:rFonts w:ascii="Arial" w:hAnsi="Arial"/>
                <w:b/>
              </w:rPr>
              <w:t>Value</w:t>
            </w:r>
          </w:p>
        </w:tc>
      </w:tr>
      <w:tr>
        <w:tc>
          <w:tcPr>
            <w:tcW w:type="dxa" w:w="4320"/>
          </w:tcPr>
          <w:p>
            <w:r>
              <w:rPr>
                <w:rFonts w:ascii="Arial" w:hAnsi="Arial"/>
                <w:sz w:val="20"/>
              </w:rPr>
              <w:t>Current Price</w:t>
            </w:r>
          </w:p>
        </w:tc>
        <w:tc>
          <w:tcPr>
            <w:tcW w:type="dxa" w:w="4320"/>
          </w:tcPr>
          <w:p>
            <w:r>
              <w:rPr>
                <w:rFonts w:ascii="Arial" w:hAnsi="Arial"/>
                <w:sz w:val="20"/>
              </w:rPr>
              <w:t>$243.43</w:t>
            </w:r>
          </w:p>
        </w:tc>
      </w:tr>
      <w:tr>
        <w:tc>
          <w:tcPr>
            <w:tcW w:type="dxa" w:w="4320"/>
          </w:tcPr>
          <w:p>
            <w:r>
              <w:rPr>
                <w:rFonts w:ascii="Arial" w:hAnsi="Arial"/>
                <w:sz w:val="20"/>
              </w:rPr>
              <w:t>Market Cap</w:t>
            </w:r>
          </w:p>
        </w:tc>
        <w:tc>
          <w:tcPr>
            <w:tcW w:type="dxa" w:w="4320"/>
          </w:tcPr>
          <w:p>
            <w:r>
              <w:rPr>
                <w:rFonts w:ascii="Arial" w:hAnsi="Arial"/>
                <w:sz w:val="20"/>
              </w:rPr>
              <w:t>$231.75B</w:t>
            </w:r>
          </w:p>
        </w:tc>
      </w:tr>
      <w:tr>
        <w:tc>
          <w:tcPr>
            <w:tcW w:type="dxa" w:w="4320"/>
          </w:tcPr>
          <w:p>
            <w:r>
              <w:rPr>
                <w:rFonts w:ascii="Arial" w:hAnsi="Arial"/>
                <w:sz w:val="20"/>
              </w:rPr>
              <w:t>P/E Ratio</w:t>
            </w:r>
          </w:p>
        </w:tc>
        <w:tc>
          <w:tcPr>
            <w:tcW w:type="dxa" w:w="4320"/>
          </w:tcPr>
          <w:p>
            <w:r>
              <w:rPr>
                <w:rFonts w:ascii="Arial" w:hAnsi="Arial"/>
                <w:sz w:val="20"/>
              </w:rPr>
              <w:t>35.330914</w:t>
            </w:r>
          </w:p>
        </w:tc>
      </w:tr>
      <w:tr>
        <w:tc>
          <w:tcPr>
            <w:tcW w:type="dxa" w:w="4320"/>
          </w:tcPr>
          <w:p>
            <w:r>
              <w:rPr>
                <w:rFonts w:ascii="Arial" w:hAnsi="Arial"/>
                <w:sz w:val="20"/>
              </w:rPr>
              <w:t>EPS</w:t>
            </w:r>
          </w:p>
        </w:tc>
        <w:tc>
          <w:tcPr>
            <w:tcW w:type="dxa" w:w="4320"/>
          </w:tcPr>
          <w:p>
            <w:r>
              <w:rPr>
                <w:rFonts w:ascii="Arial" w:hAnsi="Arial"/>
                <w:sz w:val="20"/>
              </w:rPr>
              <w:t>6.89</w:t>
            </w:r>
          </w:p>
        </w:tc>
      </w:tr>
      <w:tr>
        <w:tc>
          <w:tcPr>
            <w:tcW w:type="dxa" w:w="4320"/>
          </w:tcPr>
          <w:p>
            <w:r>
              <w:rPr>
                <w:rFonts w:ascii="Arial" w:hAnsi="Arial"/>
                <w:sz w:val="20"/>
              </w:rPr>
              <w:t>52 Week High</w:t>
            </w:r>
          </w:p>
        </w:tc>
        <w:tc>
          <w:tcPr>
            <w:tcW w:type="dxa" w:w="4320"/>
          </w:tcPr>
          <w:p>
            <w:r>
              <w:rPr>
                <w:rFonts w:ascii="Arial" w:hAnsi="Arial"/>
                <w:sz w:val="20"/>
              </w:rPr>
              <w:t>369.0</w:t>
            </w:r>
          </w:p>
        </w:tc>
      </w:tr>
      <w:tr>
        <w:tc>
          <w:tcPr>
            <w:tcW w:type="dxa" w:w="4320"/>
          </w:tcPr>
          <w:p>
            <w:r>
              <w:rPr>
                <w:rFonts w:ascii="Arial" w:hAnsi="Arial"/>
                <w:sz w:val="20"/>
              </w:rPr>
              <w:t>52 Week Low</w:t>
            </w:r>
          </w:p>
        </w:tc>
        <w:tc>
          <w:tcPr>
            <w:tcW w:type="dxa" w:w="4320"/>
          </w:tcPr>
          <w:p>
            <w:r>
              <w:rPr>
                <w:rFonts w:ascii="Arial" w:hAnsi="Arial"/>
                <w:sz w:val="20"/>
              </w:rPr>
              <w:t>226.48</w:t>
            </w:r>
          </w:p>
        </w:tc>
      </w:tr>
    </w:tbl>
    <w:p/>
    <w:p>
      <w:r>
        <w:rPr>
          <w:rFonts w:ascii="Arial" w:hAnsi="Arial"/>
          <w:b/>
          <w:color w:val="34495E"/>
          <w:sz w:val="32"/>
        </w:rPr>
        <w:t>⚠️ Key Business Risks</w:t>
      </w:r>
    </w:p>
    <w:p>
      <w:r>
        <w:rPr>
          <w:rFonts w:ascii="Arial" w:hAnsi="Arial"/>
          <w:sz w:val="22"/>
        </w:rPr>
        <w:t xml:space="preserve">ITEM 1A. RIS K FACTORS </w:t>
        <w:br/>
        <w:br/>
        <w:t xml:space="preserve">Our operations and financial results are subject to various risks and uncertainties, including those described below, that could adversely affect our business, operations, financial condition, results of operations, liquidity, and the trading price of our common stock. </w:t>
        <w:br/>
        <w:br/>
        <w:t xml:space="preserve">STRATEGIC AND COMPETITIVE RISKS </w:t>
        <w:br/>
        <w:br/>
        <w:t xml:space="preserve">We face intense competition across all markets for our products and services, which could adversely affect our results of operations. </w:t>
        <w:br/>
        <w:br/>
        <w:t xml:space="preserve">Competition in the technology sector </w:t>
        <w:br/>
        <w:b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If we do not continue to innovate and provide products, devices, and services that appeal to businesses and consumers, we may not remain competitive, which could adversely affect our business, financial condition, and results of operations. </w:t>
        <w:br/>
        <w:br/>
        <w:t xml:space="preserve">Competition among platform-based ecosystems </w:t>
        <w:br/>
        <w:b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meet consumer demand and to achieve and maintain attractive margins. We face significant competition from firms that provide competing platforms. </w:t>
        <w:br/>
        <w:br/>
        <w:t xml:space="preserve">&amp;#8226; A competing vertically-integrated model, in which a single firm controls the hardware and software elements of a product and related services, has succeeded with some consumer products such as PCs, tablets, smartphones, gaming consoles, wearables, and other endpoint devices.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vertically-integrated offer. We also offer some vertically-integrated hardware and software products and services. Shifting a portion of our business to a vertically-integrated model may increase our cost of revenue and reduce our operating margins. </w:t>
        <w:br/>
        <w:br/>
        <w:t xml:space="preserve">&amp;#8226; We derive substantial revenue from licenses of Windows operating systems on PCs. We face significant competition from competing platforms developed for new devices and form factors such as smartphones and tablets. These devices compete on multiple bases including price and the perceived utility of the device and its platform. Users continue to turn to these devices to perform functions that in the past were performed by PCs. Even if many users view these devices as complementary to a PC,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OEM partners, which may affect their commitment to our platform. </w:t>
        <w:br/>
        <w:br/>
        <w:t>&amp;#8226; Competing platforms have content and application marketplaces with scale and significant installed bases. The variety and utility of content and applications available on a platform are important to device purchasing decisions. Users may incur costs to move data and buy new content and applications when switching platforms. To compete, we must successfully enlist developers to write applications for our p</w:t>
      </w:r>
    </w:p>
    <w:p>
      <w:r>
        <w:rPr>
          <w:rFonts w:ascii="Arial" w:hAnsi="Arial"/>
          <w:b/>
          <w:color w:val="34495E"/>
          <w:sz w:val="32"/>
        </w:rPr>
        <w:t>📈 Market Performance Summary</w:t>
      </w:r>
    </w:p>
    <w:p>
      <w:r>
        <w:rPr>
          <w:rFonts w:ascii="Arial" w:hAnsi="Arial"/>
          <w:sz w:val="22"/>
        </w:rPr>
        <w:t>Current Price: $243.43 | Market Cap: $231.75B | P/E Ratio: 35.330914</w:t>
      </w:r>
    </w:p>
    <w:p>
      <w:r>
        <w:rPr>
          <w:rFonts w:ascii="Arial" w:hAnsi="Arial"/>
          <w:b/>
          <w:color w:val="34495E"/>
          <w:sz w:val="32"/>
        </w:rPr>
        <w:t>📰 Recent News &amp; Market Catalysts</w:t>
      </w:r>
    </w:p>
    <w:p>
      <w:r>
        <w:rPr>
          <w:rFonts w:ascii="Arial" w:hAnsi="Arial"/>
          <w:sz w:val="22"/>
        </w:rPr>
        <w:t>Recent market developments include:</w:t>
      </w:r>
    </w:p>
    <w:p>
      <w:r>
        <w:rPr>
          <w:rFonts w:ascii="Arial" w:hAnsi="Arial"/>
          <w:sz w:val="20"/>
        </w:rPr>
        <w:t xml:space="preserve">• </w:t>
      </w:r>
      <w:r>
        <w:rPr>
          <w:rFonts w:ascii="Arial" w:hAnsi="Arial"/>
          <w:sz w:val="20"/>
        </w:rPr>
        <w:t>AI Code Tools Market to Hit USD 37.34 Billion by 2032, Driven by Rising Demand for Automation Globally | SNS Insider</w:t>
      </w:r>
    </w:p>
    <w:p>
      <w:r>
        <w:rPr>
          <w:rFonts w:ascii="Arial" w:hAnsi="Arial"/>
          <w:sz w:val="20"/>
        </w:rPr>
        <w:t xml:space="preserve">• </w:t>
      </w:r>
      <w:r>
        <w:rPr>
          <w:rFonts w:ascii="Arial" w:hAnsi="Arial"/>
          <w:sz w:val="20"/>
        </w:rPr>
        <w:t>Prompt injection – and a $5 domain – trick Salesforce Agentforce into leaking sales</w:t>
      </w:r>
    </w:p>
    <w:p/>
    <w:p>
      <w:r>
        <w:rPr>
          <w:rFonts w:ascii="Arial" w:hAnsi="Arial"/>
          <w:b/>
          <w:color w:val="C0392B"/>
          <w:sz w:val="28"/>
        </w:rPr>
        <w:t>⚖️ Important Disclaimer</w:t>
      </w:r>
    </w:p>
    <w:p>
      <w:r>
        <w:rPr>
          <w:rFonts w:ascii="Arial" w:hAnsi="Arial"/>
          <w:i/>
          <w:color w:val="7F8C8D"/>
          <w:sz w:val="18"/>
        </w:rPr>
        <w:t>This report is generated for informational and educational purposes only. It should not be considered as personalized investment advice, a recommendation to buy or sell securities, or a guarantee of future performance. All investments carry risk of loss. Past performance does not guarantee future results. Please consult with a qualified financial advisor before making any investment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