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506"/>
      </w:tblGrid>
      <w:tr w14:paraId="583EC1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C9900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C5699D">
            <w:pPr>
              <w:spacing w:before="0" w:after="0"/>
            </w:pPr>
          </w:p>
        </w:tc>
      </w:tr>
      <w:tr w14:paraId="40C38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0B4F5E"/>
            <w:tcMar>
              <w:top w:w="130" w:type="dxa"/>
              <w:left w:w="240" w:type="dxa"/>
              <w:bottom w:w="20" w:type="dxa"/>
              <w:right w:w="240" w:type="dxa"/>
            </w:tcMar>
          </w:tcPr>
          <w:p w14:paraId="66C5111B">
            <w:pPr>
              <w:spacing w:before="0" w:after="16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5DFA0"/>
                <w:sz w:val="22"/>
                <w:szCs w:val="22"/>
              </w:rPr>
              <w:t>KIIT UNIVERSITY  |  BHUBANESWAR, ODISHA</w:t>
            </w:r>
          </w:p>
          <w:p w14:paraId="046D32ED">
            <w:pPr>
              <w:spacing w:before="0" w:after="12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32"/>
                <w:szCs w:val="32"/>
              </w:rPr>
              <w:t>SAP CAPSTONE PROJECT REPORT</w:t>
            </w:r>
          </w:p>
          <w:p w14:paraId="6694EA33">
            <w:pPr>
              <w:spacing w:before="0" w:after="10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/>
                <w:iCs/>
                <w:color w:val="9DCDD6"/>
                <w:sz w:val="21"/>
                <w:szCs w:val="21"/>
              </w:rPr>
              <w:t>Procure-to-Pay (P2P): Complete Purchasing Cycle</w:t>
            </w:r>
          </w:p>
        </w:tc>
      </w:tr>
      <w:tr w14:paraId="7FD34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506" w:type="dxa"/>
            <w:tcBorders>
              <w:top w:val="nil"/>
              <w:left w:val="nil"/>
              <w:bottom w:val="nil"/>
              <w:right w:val="nil"/>
            </w:tcBorders>
            <w:shd w:val="clear" w:color="auto" w:fill="C9900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98198E">
            <w:pPr>
              <w:spacing w:before="0" w:after="0"/>
            </w:pPr>
          </w:p>
        </w:tc>
      </w:tr>
    </w:tbl>
    <w:p w14:paraId="7276DA97">
      <w:pPr>
        <w:spacing w:before="0" w:after="28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3"/>
        <w:gridCol w:w="1518"/>
        <w:gridCol w:w="2022"/>
        <w:gridCol w:w="4143"/>
      </w:tblGrid>
      <w:tr w14:paraId="782B3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0B4F5E" w:sz="6" w:space="0"/>
              <w:left w:val="single" w:color="DDDDDD" w:sz="2" w:space="0"/>
              <w:bottom w:val="single" w:color="0B4F5E" w:sz="6" w:space="0"/>
              <w:right w:val="single" w:color="DDDDDD" w:sz="2" w:space="0"/>
            </w:tcBorders>
            <w:shd w:val="clear" w:color="auto" w:fill="0B4F5E"/>
            <w:tcMar>
              <w:top w:w="68" w:type="dxa"/>
              <w:left w:w="60" w:type="dxa"/>
              <w:bottom w:w="68" w:type="dxa"/>
              <w:right w:w="60" w:type="dxa"/>
            </w:tcMar>
          </w:tcPr>
          <w:p w14:paraId="2F50A12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SAP MM</w:t>
            </w:r>
          </w:p>
        </w:tc>
        <w:tc>
          <w:tcPr>
            <w:tcBorders>
              <w:top w:val="single" w:color="1A7A8A" w:sz="6" w:space="0"/>
              <w:left w:val="single" w:color="DDDDDD" w:sz="2" w:space="0"/>
              <w:bottom w:val="single" w:color="1A7A8A" w:sz="6" w:space="0"/>
              <w:right w:val="single" w:color="DDDDDD" w:sz="2" w:space="0"/>
            </w:tcBorders>
            <w:shd w:val="clear" w:color="auto" w:fill="1A7A8A"/>
            <w:tcMar>
              <w:top w:w="68" w:type="dxa"/>
              <w:left w:w="60" w:type="dxa"/>
              <w:bottom w:w="68" w:type="dxa"/>
              <w:right w:w="60" w:type="dxa"/>
            </w:tcMar>
          </w:tcPr>
          <w:p w14:paraId="52A08CD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SAP FI</w:t>
            </w:r>
          </w:p>
        </w:tc>
        <w:tc>
          <w:tcPr>
            <w:tcBorders>
              <w:top w:val="single" w:color="C9900A" w:sz="6" w:space="0"/>
              <w:left w:val="single" w:color="DDDDDD" w:sz="2" w:space="0"/>
              <w:bottom w:val="single" w:color="C9900A" w:sz="6" w:space="0"/>
              <w:right w:val="single" w:color="DDDDDD" w:sz="2" w:space="0"/>
            </w:tcBorders>
            <w:shd w:val="clear" w:color="auto" w:fill="C9900A"/>
            <w:tcMar>
              <w:top w:w="68" w:type="dxa"/>
              <w:left w:w="60" w:type="dxa"/>
              <w:bottom w:w="68" w:type="dxa"/>
              <w:right w:w="60" w:type="dxa"/>
            </w:tcMar>
          </w:tcPr>
          <w:p w14:paraId="76ED5E9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SAP BDC</w:t>
            </w:r>
          </w:p>
        </w:tc>
        <w:tc>
          <w:tcPr>
            <w:tcBorders>
              <w:top w:val="single" w:color="0B4F5E" w:sz="6" w:space="0"/>
              <w:left w:val="single" w:color="DDDDDD" w:sz="2" w:space="0"/>
              <w:bottom w:val="single" w:color="0B4F5E" w:sz="6" w:space="0"/>
              <w:right w:val="single" w:color="DDDDDD" w:sz="2" w:space="0"/>
            </w:tcBorders>
            <w:shd w:val="clear" w:color="auto" w:fill="0B4F5E"/>
            <w:tcMar>
              <w:top w:w="68" w:type="dxa"/>
              <w:left w:w="60" w:type="dxa"/>
              <w:bottom w:w="68" w:type="dxa"/>
              <w:right w:w="60" w:type="dxa"/>
            </w:tcMar>
          </w:tcPr>
          <w:p w14:paraId="674E1B0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SAP Analytics Cloud</w:t>
            </w:r>
          </w:p>
        </w:tc>
      </w:tr>
    </w:tbl>
    <w:p w14:paraId="0A4A811F">
      <w:pPr>
        <w:spacing w:before="0" w:after="28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7006"/>
      </w:tblGrid>
      <w:tr w14:paraId="6C629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1A7A8A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4C1B5B3E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700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BD8A9D5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9"/>
                <w:szCs w:val="19"/>
              </w:rPr>
              <w:t>Rishav Kumar Shrivastava</w:t>
            </w:r>
          </w:p>
        </w:tc>
      </w:tr>
      <w:tr w14:paraId="4AB87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1A7A8A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2C23F7C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Roll Number</w:t>
            </w:r>
          </w:p>
        </w:tc>
        <w:tc>
          <w:tcPr>
            <w:tcW w:w="700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3B10CF8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9"/>
                <w:szCs w:val="19"/>
              </w:rPr>
              <w:t>2305151</w:t>
            </w:r>
          </w:p>
        </w:tc>
      </w:tr>
      <w:tr w14:paraId="04556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1A7A8A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D617431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Program</w:t>
            </w:r>
          </w:p>
        </w:tc>
        <w:tc>
          <w:tcPr>
            <w:tcW w:w="700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3A1EF14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9"/>
                <w:szCs w:val="19"/>
              </w:rPr>
              <w:t>B.Tech — Computer Science &amp; Engineering</w:t>
            </w:r>
          </w:p>
        </w:tc>
      </w:tr>
      <w:tr w14:paraId="30325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1A7A8A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2AC68493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Course</w:t>
            </w:r>
          </w:p>
        </w:tc>
        <w:tc>
          <w:tcPr>
            <w:tcW w:w="700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463744FD">
            <w:pPr>
              <w:spacing w:before="0" w:after="0"/>
            </w:pPr>
            <w:r>
              <w:rPr>
                <w:rFonts w:hint="default" w:ascii="Arial" w:hAnsi="Arial" w:eastAsia="Arial"/>
                <w:b w:val="0"/>
                <w:bCs w:val="0"/>
                <w:i w:val="0"/>
                <w:iCs w:val="0"/>
                <w:color w:val="2D3748"/>
                <w:sz w:val="19"/>
                <w:szCs w:val="19"/>
              </w:rPr>
              <w:t>SAP Data/Analytics Engineer | C_BCBDC — SAP Business Data Cloud</w:t>
            </w:r>
          </w:p>
        </w:tc>
      </w:tr>
      <w:tr w14:paraId="58DBC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1A7A8A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1B6D5A35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Institution</w:t>
            </w:r>
          </w:p>
        </w:tc>
        <w:tc>
          <w:tcPr>
            <w:tcW w:w="700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32DC2B34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9"/>
                <w:szCs w:val="19"/>
              </w:rPr>
              <w:t>KIIT University, Bhubaneswar — 751024</w:t>
            </w:r>
          </w:p>
        </w:tc>
      </w:tr>
      <w:tr w14:paraId="6F6F36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1A7A8A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4654BB0D">
            <w:pPr>
              <w:spacing w:before="0" w:after="0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9"/>
                <w:szCs w:val="19"/>
              </w:rPr>
              <w:t>Submission Date</w:t>
            </w:r>
          </w:p>
        </w:tc>
        <w:tc>
          <w:tcPr>
            <w:tcW w:w="700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72" w:type="dxa"/>
              <w:left w:w="130" w:type="dxa"/>
              <w:bottom w:w="72" w:type="dxa"/>
              <w:right w:w="130" w:type="dxa"/>
            </w:tcMar>
          </w:tcPr>
          <w:p w14:paraId="58F089E6">
            <w:pPr>
              <w:spacing w:before="0" w:after="0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9"/>
                <w:szCs w:val="19"/>
              </w:rPr>
              <w:t>April 18, 2026</w:t>
            </w:r>
          </w:p>
        </w:tc>
      </w:tr>
    </w:tbl>
    <w:p w14:paraId="5E4EA66E">
      <w:pPr>
        <w:spacing w:before="0" w:after="42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"/>
        <w:gridCol w:w="9306"/>
      </w:tblGrid>
      <w:tr w14:paraId="3F038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C9900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014523"/>
        </w:tc>
        <w:tc>
          <w:tcPr>
            <w:tcW w:w="9306" w:type="dxa"/>
            <w:tcBorders>
              <w:top w:val="single" w:color="0B4F5E" w:sz="2" w:space="0"/>
              <w:left w:val="nil"/>
              <w:bottom w:val="single" w:color="C9900A" w:sz="8" w:space="0"/>
              <w:right w:val="single" w:color="0B4F5E" w:sz="2" w:space="0"/>
            </w:tcBorders>
            <w:shd w:val="clear" w:color="auto" w:fill="0B4F5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17A029F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900A"/>
                <w:sz w:val="21"/>
                <w:szCs w:val="21"/>
              </w:rPr>
              <w:t xml:space="preserve">1.  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1"/>
                <w:szCs w:val="21"/>
              </w:rPr>
              <w:t>Introduction &amp; Problem Statement</w:t>
            </w:r>
          </w:p>
        </w:tc>
      </w:tr>
    </w:tbl>
    <w:p w14:paraId="02F06DD4">
      <w:pPr>
        <w:spacing w:before="0" w:after="18"/>
      </w:pPr>
    </w:p>
    <w:p w14:paraId="27449450">
      <w:pPr>
        <w:spacing w:before="16" w:after="16" w:line="254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2D3748"/>
          <w:sz w:val="19"/>
          <w:szCs w:val="19"/>
        </w:rPr>
        <w:t>The Procure-to-Pay (P2P) cycle governs the complete procurement lifecycle — from material demand signal to final vendor payment clearance. This project implements an end-to-end P2P cycle in SAP MM for TechNova Electronics Pvt Ltd, a consumer electronics manufacturer headquartered in Bhubaneswar, Odisha, with production plants in Pune and Hosur, managing 1,400+ raw-material SKUs across 38 approved vendors and an annual procurement spend of INR 65 crore.</w:t>
      </w:r>
    </w:p>
    <w:p w14:paraId="238BB4E7">
      <w:pPr>
        <w:spacing w:before="10" w:after="12" w:line="254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2D3748"/>
          <w:sz w:val="19"/>
          <w:szCs w:val="19"/>
        </w:rPr>
        <w:t>Prior to SAP adoption, procurement ran on disconnected Excel trackers with no shared system of record — producing measurable failures across cost, compliance, and supply continuity:</w:t>
      </w:r>
    </w:p>
    <w:p w14:paraId="1BD5466A">
      <w:pPr>
        <w:pStyle w:val="16"/>
        <w:numPr>
          <w:ilvl w:val="0"/>
          <w:numId w:val="1"/>
        </w:numPr>
        <w:spacing w:before="22" w:after="22" w:line="244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2D3748"/>
          <w:sz w:val="18"/>
          <w:szCs w:val="18"/>
        </w:rPr>
        <w:t>PO lead time of 7.1 days — manual email approvals disrupted production scheduling across all three plants.</w:t>
      </w:r>
    </w:p>
    <w:p w14:paraId="73AB1157">
      <w:pPr>
        <w:pStyle w:val="16"/>
        <w:numPr>
          <w:ilvl w:val="0"/>
          <w:numId w:val="1"/>
        </w:numPr>
        <w:spacing w:before="22" w:after="22" w:line="244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2D3748"/>
          <w:sz w:val="18"/>
          <w:szCs w:val="18"/>
        </w:rPr>
        <w:t>Invoice mismatch rate 11.3% — quantity/price errors triggered debit-note cycles and strained vendor relationships.</w:t>
      </w:r>
    </w:p>
    <w:p w14:paraId="63C8ABE5">
      <w:pPr>
        <w:pStyle w:val="16"/>
        <w:numPr>
          <w:ilvl w:val="0"/>
          <w:numId w:val="1"/>
        </w:numPr>
        <w:spacing w:before="22" w:after="22" w:line="244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2D3748"/>
          <w:sz w:val="18"/>
          <w:szCs w:val="18"/>
        </w:rPr>
        <w:t>4.2 stockout incidents/month — two production lines halted in Q3 FY 2024-25, causing INR 14 lakh idle-labour losses.</w:t>
      </w:r>
    </w:p>
    <w:p w14:paraId="2288DD12">
      <w:pPr>
        <w:pStyle w:val="16"/>
        <w:numPr>
          <w:ilvl w:val="0"/>
          <w:numId w:val="1"/>
        </w:numPr>
        <w:spacing w:before="22" w:after="22" w:line="244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2D3748"/>
          <w:sz w:val="18"/>
          <w:szCs w:val="18"/>
        </w:rPr>
        <w:t>INR 6.8 lakh IGST input tax credit forfeited — HSN miscoding and GSTIN mismatches caused irrecoverable ITC losses.</w:t>
      </w:r>
    </w:p>
    <w:p w14:paraId="74F59427">
      <w:pPr>
        <w:pStyle w:val="16"/>
        <w:numPr>
          <w:ilvl w:val="0"/>
          <w:numId w:val="1"/>
        </w:numPr>
        <w:spacing w:before="22" w:after="22" w:line="244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2D3748"/>
          <w:sz w:val="18"/>
          <w:szCs w:val="18"/>
        </w:rPr>
        <w:t>Month-end reports required 9–11 working days, leaving leadership with chronically stale procurement data.</w:t>
      </w:r>
    </w:p>
    <w:p w14:paraId="79DC636F">
      <w:pPr>
        <w:spacing w:before="0" w:after="26"/>
      </w:pPr>
    </w:p>
    <w:p w14:paraId="16DB095F">
      <w:pPr>
        <w:pBdr>
          <w:left w:val="single" w:color="C9900A" w:sz="18" w:space="8"/>
        </w:pBdr>
        <w:spacing w:before="55" w:after="28"/>
      </w:pPr>
      <w:r>
        <w:rPr>
          <w:rFonts w:ascii="Arial" w:hAnsi="Arial" w:eastAsia="Arial" w:cs="Arial"/>
          <w:b/>
          <w:bCs/>
          <w:i w:val="0"/>
          <w:iCs w:val="0"/>
          <w:color w:val="0B4F5E"/>
          <w:sz w:val="20"/>
          <w:szCs w:val="20"/>
        </w:rPr>
        <w:t>Table 1 — Project Scope</w:t>
      </w:r>
    </w:p>
    <w:p w14:paraId="452B7C0C">
      <w:pPr>
        <w:spacing w:before="0" w:after="8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800"/>
        <w:gridCol w:w="1250"/>
        <w:gridCol w:w="4556"/>
      </w:tblGrid>
      <w:tr w14:paraId="7915E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0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0A01E6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Scope Area</w:t>
            </w:r>
          </w:p>
        </w:tc>
        <w:tc>
          <w:tcPr>
            <w:tcW w:w="180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41C8D5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SAP Transaction(s)</w:t>
            </w:r>
          </w:p>
        </w:tc>
        <w:tc>
          <w:tcPr>
            <w:tcW w:w="125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A938A6E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455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2E9A49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Key Output</w:t>
            </w:r>
          </w:p>
        </w:tc>
      </w:tr>
      <w:tr w14:paraId="24A980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933553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Requirement Planning</w:t>
            </w:r>
          </w:p>
        </w:tc>
        <w:tc>
          <w:tcPr>
            <w:tcW w:w="180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310A3B9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MD01, ME5A</w:t>
            </w:r>
          </w:p>
        </w:tc>
        <w:tc>
          <w:tcPr>
            <w:tcW w:w="125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738E688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SAP MM / MRP</w:t>
            </w:r>
          </w:p>
        </w:tc>
        <w:tc>
          <w:tcPr>
            <w:tcW w:w="455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29D2A5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Planned orders, stock requirements list</w:t>
            </w:r>
          </w:p>
        </w:tc>
      </w:tr>
      <w:tr w14:paraId="64951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4F59D8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Purchase Requisition</w:t>
            </w:r>
          </w:p>
        </w:tc>
        <w:tc>
          <w:tcPr>
            <w:tcW w:w="180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F097A4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ME51N, ME52N</w:t>
            </w:r>
          </w:p>
        </w:tc>
        <w:tc>
          <w:tcPr>
            <w:tcW w:w="125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54C9478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SAP MM</w:t>
            </w:r>
          </w:p>
        </w:tc>
        <w:tc>
          <w:tcPr>
            <w:tcW w:w="455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17A47D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PR with auto-source assignment</w:t>
            </w:r>
          </w:p>
        </w:tc>
      </w:tr>
      <w:tr w14:paraId="70A77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6A71FB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RFQ / Vendor Selection</w:t>
            </w:r>
          </w:p>
        </w:tc>
        <w:tc>
          <w:tcPr>
            <w:tcW w:w="180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E0B9D5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ME41, ME47, ME49</w:t>
            </w:r>
          </w:p>
        </w:tc>
        <w:tc>
          <w:tcPr>
            <w:tcW w:w="125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9CA048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SAP MM</w:t>
            </w:r>
          </w:p>
        </w:tc>
        <w:tc>
          <w:tcPr>
            <w:tcW w:w="455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179097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Comparative quotation analysis (ME49)</w:t>
            </w:r>
          </w:p>
        </w:tc>
      </w:tr>
      <w:tr w14:paraId="5A636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3A3F37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Purchase Order</w:t>
            </w:r>
          </w:p>
        </w:tc>
        <w:tc>
          <w:tcPr>
            <w:tcW w:w="180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CF6E16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ME21N, ME22N</w:t>
            </w:r>
          </w:p>
        </w:tc>
        <w:tc>
          <w:tcPr>
            <w:tcW w:w="125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A69121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SAP MM</w:t>
            </w:r>
          </w:p>
        </w:tc>
        <w:tc>
          <w:tcPr>
            <w:tcW w:w="455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884161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Binding PO with 4-tier approval workflow</w:t>
            </w:r>
          </w:p>
        </w:tc>
      </w:tr>
      <w:tr w14:paraId="6E6AD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4E9F23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Goods Receipt</w:t>
            </w:r>
          </w:p>
        </w:tc>
        <w:tc>
          <w:tcPr>
            <w:tcW w:w="180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28579D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MIGO (Mvt 101)</w:t>
            </w:r>
          </w:p>
        </w:tc>
        <w:tc>
          <w:tcPr>
            <w:tcW w:w="125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E2023A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SAP MM / WM</w:t>
            </w:r>
          </w:p>
        </w:tc>
        <w:tc>
          <w:tcPr>
            <w:tcW w:w="455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03C209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GR document, stock posting, GR/IR clearing</w:t>
            </w:r>
          </w:p>
        </w:tc>
      </w:tr>
      <w:tr w14:paraId="4557D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4F433C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Invoice Verification</w:t>
            </w:r>
          </w:p>
        </w:tc>
        <w:tc>
          <w:tcPr>
            <w:tcW w:w="180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3BD1A0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MIRO, MR8M</w:t>
            </w:r>
          </w:p>
        </w:tc>
        <w:tc>
          <w:tcPr>
            <w:tcW w:w="125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824631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SAP MM + FI</w:t>
            </w:r>
          </w:p>
        </w:tc>
        <w:tc>
          <w:tcPr>
            <w:tcW w:w="455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58D31E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3-way match; vendor invoice posted to FI</w:t>
            </w:r>
          </w:p>
        </w:tc>
      </w:tr>
      <w:tr w14:paraId="3A537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CE6D31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Payment Clearance</w:t>
            </w:r>
          </w:p>
        </w:tc>
        <w:tc>
          <w:tcPr>
            <w:tcW w:w="180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D6009B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F110, F-53</w:t>
            </w:r>
          </w:p>
        </w:tc>
        <w:tc>
          <w:tcPr>
            <w:tcW w:w="125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23B73C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SAP FI</w:t>
            </w:r>
          </w:p>
        </w:tc>
        <w:tc>
          <w:tcPr>
            <w:tcW w:w="455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18A74F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Bank outflow; vendor cleared; DPO updated</w:t>
            </w:r>
          </w:p>
        </w:tc>
      </w:tr>
      <w:tr w14:paraId="0058E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E86395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Analytics Dashboard</w:t>
            </w:r>
          </w:p>
        </w:tc>
        <w:tc>
          <w:tcPr>
            <w:tcW w:w="180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DD06E6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CDS + OData V4</w:t>
            </w:r>
          </w:p>
        </w:tc>
        <w:tc>
          <w:tcPr>
            <w:tcW w:w="125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B4383C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SAP BDC/SAC</w:t>
            </w:r>
          </w:p>
        </w:tc>
        <w:tc>
          <w:tcPr>
            <w:tcW w:w="455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ABCB4F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Spend KPIs, vendor scorecard, risk alerts</w:t>
            </w:r>
          </w:p>
        </w:tc>
      </w:tr>
    </w:tbl>
    <w:p w14:paraId="5F3DC5AF">
      <w:r>
        <w:br w:type="page"/>
      </w: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"/>
        <w:gridCol w:w="9306"/>
      </w:tblGrid>
      <w:tr w14:paraId="01A12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C9900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4EA0D7"/>
        </w:tc>
        <w:tc>
          <w:tcPr>
            <w:tcW w:w="9306" w:type="dxa"/>
            <w:tcBorders>
              <w:top w:val="single" w:color="0B4F5E" w:sz="2" w:space="0"/>
              <w:left w:val="nil"/>
              <w:bottom w:val="single" w:color="C9900A" w:sz="8" w:space="0"/>
              <w:right w:val="single" w:color="0B4F5E" w:sz="2" w:space="0"/>
            </w:tcBorders>
            <w:shd w:val="clear" w:color="auto" w:fill="0B4F5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0ED2D59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900A"/>
                <w:sz w:val="21"/>
                <w:szCs w:val="21"/>
              </w:rPr>
              <w:t xml:space="preserve">2.  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1"/>
                <w:szCs w:val="21"/>
              </w:rPr>
              <w:t>P2P Process Design — 7-Stage Procurement Cycle</w:t>
            </w:r>
          </w:p>
        </w:tc>
      </w:tr>
    </w:tbl>
    <w:p w14:paraId="54C65197">
      <w:pPr>
        <w:spacing w:before="0" w:after="18"/>
      </w:pPr>
    </w:p>
    <w:p w14:paraId="0F2A1229">
      <w:pPr>
        <w:spacing w:before="12" w:after="18" w:line="254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2D3748"/>
          <w:sz w:val="19"/>
          <w:szCs w:val="19"/>
        </w:rPr>
        <w:t>SAP MM operationalises P2P as seven tightly coupled stages. Each stage auto-generates a follow-on document triggering the next — eliminating manual handoffs and maintaining a complete, auditable digital thread from demand signal to vendor payment clearance.</w:t>
      </w:r>
    </w:p>
    <w:p w14:paraId="6456E8B0">
      <w:pPr>
        <w:pBdr>
          <w:left w:val="single" w:color="C9900A" w:sz="18" w:space="8"/>
        </w:pBdr>
        <w:spacing w:before="55" w:after="28"/>
      </w:pPr>
      <w:r>
        <w:rPr>
          <w:rFonts w:ascii="Arial" w:hAnsi="Arial" w:eastAsia="Arial" w:cs="Arial"/>
          <w:b/>
          <w:bCs/>
          <w:i w:val="0"/>
          <w:iCs w:val="0"/>
          <w:color w:val="0B4F5E"/>
          <w:sz w:val="20"/>
          <w:szCs w:val="20"/>
        </w:rPr>
        <w:t>Table 2 — Complete 7-Stage P2P Process Map</w:t>
      </w:r>
    </w:p>
    <w:p w14:paraId="1ED9985C">
      <w:pPr>
        <w:spacing w:before="0" w:after="8"/>
      </w:pPr>
    </w:p>
    <w:tbl>
      <w:tblPr>
        <w:tblStyle w:val="9"/>
        <w:tblW w:w="104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57"/>
        <w:gridCol w:w="886"/>
        <w:gridCol w:w="1199"/>
        <w:gridCol w:w="4126"/>
        <w:gridCol w:w="2706"/>
      </w:tblGrid>
      <w:tr w14:paraId="16754B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57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B871F2E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Stage</w:t>
            </w:r>
          </w:p>
        </w:tc>
        <w:tc>
          <w:tcPr>
            <w:tcW w:w="88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6A01058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T-Code</w:t>
            </w:r>
          </w:p>
        </w:tc>
        <w:tc>
          <w:tcPr>
            <w:tcW w:w="119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23C0DC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Document</w:t>
            </w:r>
          </w:p>
        </w:tc>
        <w:tc>
          <w:tcPr>
            <w:tcW w:w="412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908D32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Key SAP Action</w:t>
            </w:r>
          </w:p>
        </w:tc>
        <w:tc>
          <w:tcPr>
            <w:tcW w:w="270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779A4F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Lead Time</w:t>
            </w:r>
          </w:p>
        </w:tc>
      </w:tr>
      <w:tr w14:paraId="19E53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7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AEE94B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1. MRP / Planning</w:t>
            </w:r>
          </w:p>
        </w:tc>
        <w:tc>
          <w:tcPr>
            <w:tcW w:w="88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9B7D13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MD01</w:t>
            </w:r>
          </w:p>
        </w:tc>
        <w:tc>
          <w:tcPr>
            <w:tcW w:w="119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F582DC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Planned Order</w:t>
            </w:r>
          </w:p>
        </w:tc>
        <w:tc>
          <w:tcPr>
            <w:tcW w:w="412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370AB5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MRP generates proposals from BOM + safety stock</w:t>
            </w:r>
          </w:p>
        </w:tc>
        <w:tc>
          <w:tcPr>
            <w:tcW w:w="270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4831CF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Overnight</w:t>
            </w:r>
          </w:p>
        </w:tc>
      </w:tr>
      <w:tr w14:paraId="022BB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7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38DE58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2. Purchase Req.</w:t>
            </w:r>
          </w:p>
        </w:tc>
        <w:tc>
          <w:tcPr>
            <w:tcW w:w="88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8DB43A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ME51N</w:t>
            </w:r>
          </w:p>
        </w:tc>
        <w:tc>
          <w:tcPr>
            <w:tcW w:w="119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F935E98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PR (BANF)</w:t>
            </w:r>
          </w:p>
        </w:tc>
        <w:tc>
          <w:tcPr>
            <w:tcW w:w="412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5E0B879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Auto-created from MRP; source list assigns preferred vendor</w:t>
            </w:r>
          </w:p>
        </w:tc>
        <w:tc>
          <w:tcPr>
            <w:tcW w:w="270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651764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&lt; 1 hr</w:t>
            </w:r>
          </w:p>
        </w:tc>
      </w:tr>
      <w:tr w14:paraId="4BDF7F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7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67CC26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3. RFQ &amp; Selection</w:t>
            </w:r>
          </w:p>
        </w:tc>
        <w:tc>
          <w:tcPr>
            <w:tcW w:w="88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02AD3D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ME41/47</w:t>
            </w:r>
          </w:p>
        </w:tc>
        <w:tc>
          <w:tcPr>
            <w:tcW w:w="119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4DBEC7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RFQ / Quote</w:t>
            </w:r>
          </w:p>
        </w:tc>
        <w:tc>
          <w:tcPr>
            <w:tcW w:w="412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2380E3E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ME49 price comparison across 3 approved vendors</w:t>
            </w:r>
          </w:p>
        </w:tc>
        <w:tc>
          <w:tcPr>
            <w:tcW w:w="270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0CE1BD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2–3 days</w:t>
            </w:r>
          </w:p>
        </w:tc>
      </w:tr>
      <w:tr w14:paraId="22CA59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7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D858B9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4. Purchase Order</w:t>
            </w:r>
          </w:p>
        </w:tc>
        <w:tc>
          <w:tcPr>
            <w:tcW w:w="88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861090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ME21N</w:t>
            </w:r>
          </w:p>
        </w:tc>
        <w:tc>
          <w:tcPr>
            <w:tcW w:w="119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50450D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PO (NB)</w:t>
            </w:r>
          </w:p>
        </w:tc>
        <w:tc>
          <w:tcPr>
            <w:tcW w:w="412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9F2C8C9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4-level INR-threshold approval; info record price check</w:t>
            </w:r>
          </w:p>
        </w:tc>
        <w:tc>
          <w:tcPr>
            <w:tcW w:w="270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31FF78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Same day</w:t>
            </w:r>
          </w:p>
        </w:tc>
      </w:tr>
      <w:tr w14:paraId="54C4E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7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9EC556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5. Goods Receipt</w:t>
            </w:r>
          </w:p>
        </w:tc>
        <w:tc>
          <w:tcPr>
            <w:tcW w:w="88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8074AF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MIGO 101</w:t>
            </w:r>
          </w:p>
        </w:tc>
        <w:tc>
          <w:tcPr>
            <w:tcW w:w="119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09DF7B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Material Doc</w:t>
            </w:r>
          </w:p>
        </w:tc>
        <w:tc>
          <w:tcPr>
            <w:tcW w:w="412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F24A8EE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Stock posted; GR/IR GL credited; QM inspection lot raised</w:t>
            </w:r>
          </w:p>
        </w:tc>
        <w:tc>
          <w:tcPr>
            <w:tcW w:w="270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D484BD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On delivery</w:t>
            </w:r>
          </w:p>
        </w:tc>
      </w:tr>
      <w:tr w14:paraId="2046F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7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EE4263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6. Invoice Verify</w:t>
            </w:r>
          </w:p>
        </w:tc>
        <w:tc>
          <w:tcPr>
            <w:tcW w:w="88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610B49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MIRO</w:t>
            </w:r>
          </w:p>
        </w:tc>
        <w:tc>
          <w:tcPr>
            <w:tcW w:w="119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AD24B7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FI Invoice</w:t>
            </w:r>
          </w:p>
        </w:tc>
        <w:tc>
          <w:tcPr>
            <w:tcW w:w="412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2314A8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3-way match: PO qty = GR qty = Invoice qty ± tolerance</w:t>
            </w:r>
          </w:p>
        </w:tc>
        <w:tc>
          <w:tcPr>
            <w:tcW w:w="270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E7C0F2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&lt; 2 hrs</w:t>
            </w:r>
          </w:p>
        </w:tc>
      </w:tr>
      <w:tr w14:paraId="2BD52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57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60842E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7. Payment</w:t>
            </w:r>
          </w:p>
        </w:tc>
        <w:tc>
          <w:tcPr>
            <w:tcW w:w="88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F4C4CE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F110</w:t>
            </w:r>
          </w:p>
        </w:tc>
        <w:tc>
          <w:tcPr>
            <w:tcW w:w="119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BA27EC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Payment Doc</w:t>
            </w:r>
          </w:p>
        </w:tc>
        <w:tc>
          <w:tcPr>
            <w:tcW w:w="412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780CF5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Bank debit; vendor AP cleared; DPO counter stops</w:t>
            </w:r>
          </w:p>
        </w:tc>
        <w:tc>
          <w:tcPr>
            <w:tcW w:w="270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75C6A3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Per run</w:t>
            </w:r>
          </w:p>
        </w:tc>
      </w:tr>
    </w:tbl>
    <w:p w14:paraId="7CC4E440">
      <w:pPr>
        <w:spacing w:before="0" w:after="34"/>
      </w:pPr>
    </w:p>
    <w:p w14:paraId="48036A3E">
      <w:pPr>
        <w:pBdr>
          <w:left w:val="single" w:color="C9900A" w:sz="18" w:space="8"/>
        </w:pBdr>
        <w:spacing w:before="55" w:after="28"/>
      </w:pPr>
      <w:r>
        <w:rPr>
          <w:rFonts w:ascii="Arial" w:hAnsi="Arial" w:eastAsia="Arial" w:cs="Arial"/>
          <w:b/>
          <w:bCs/>
          <w:i w:val="0"/>
          <w:iCs w:val="0"/>
          <w:color w:val="0B4F5E"/>
          <w:sz w:val="20"/>
          <w:szCs w:val="20"/>
        </w:rPr>
        <w:t>2.1 Sample Walkthrough — Lithium Battery Module (PO-TN-2026-0312)</w:t>
      </w:r>
    </w:p>
    <w:p w14:paraId="77419273">
      <w:pPr>
        <w:spacing w:before="0" w:after="8"/>
      </w:pPr>
    </w:p>
    <w:p w14:paraId="7A1CD21C">
      <w:pPr>
        <w:spacing w:before="10" w:after="10"/>
      </w:pPr>
      <w:r>
        <w:rPr>
          <w:rFonts w:ascii="Arial" w:hAnsi="Arial" w:eastAsia="Arial" w:cs="Arial"/>
          <w:b/>
          <w:bCs/>
          <w:i w:val="0"/>
          <w:iCs w:val="0"/>
          <w:color w:val="0B4F5E"/>
          <w:sz w:val="18"/>
          <w:szCs w:val="18"/>
        </w:rPr>
        <w:t xml:space="preserve">Vendor: </w:t>
      </w:r>
      <w:r>
        <w:rPr>
          <w:rFonts w:ascii="Arial" w:hAnsi="Arial" w:eastAsia="Arial" w:cs="Arial"/>
          <w:b w:val="0"/>
          <w:bCs w:val="0"/>
          <w:i w:val="0"/>
          <w:iCs w:val="0"/>
          <w:color w:val="2D3748"/>
          <w:sz w:val="18"/>
          <w:szCs w:val="18"/>
        </w:rPr>
        <w:t xml:space="preserve">PowerCell Industries Pvt Ltd, Hyderabad  </w:t>
      </w:r>
      <w:r>
        <w:rPr>
          <w:rFonts w:ascii="Arial" w:hAnsi="Arial" w:eastAsia="Arial" w:cs="Arial"/>
          <w:b/>
          <w:bCs/>
          <w:i w:val="0"/>
          <w:iCs w:val="0"/>
          <w:color w:val="0B4F5E"/>
          <w:sz w:val="18"/>
          <w:szCs w:val="18"/>
        </w:rPr>
        <w:t xml:space="preserve">Material: </w:t>
      </w:r>
      <w:r>
        <w:rPr>
          <w:rFonts w:ascii="Arial" w:hAnsi="Arial" w:eastAsia="Arial" w:cs="Arial"/>
          <w:b w:val="0"/>
          <w:bCs w:val="0"/>
          <w:i w:val="0"/>
          <w:iCs w:val="0"/>
          <w:color w:val="2D3748"/>
          <w:sz w:val="18"/>
          <w:szCs w:val="18"/>
        </w:rPr>
        <w:t xml:space="preserve">TN-LBM-220 (Lithium Battery Module, HSN 85076000, IGST 18%)  </w:t>
      </w:r>
      <w:r>
        <w:rPr>
          <w:rFonts w:ascii="Arial" w:hAnsi="Arial" w:eastAsia="Arial" w:cs="Arial"/>
          <w:b/>
          <w:bCs/>
          <w:i w:val="0"/>
          <w:iCs w:val="0"/>
          <w:color w:val="0B4F5E"/>
          <w:sz w:val="18"/>
          <w:szCs w:val="18"/>
        </w:rPr>
        <w:t xml:space="preserve">Plant: </w:t>
      </w:r>
      <w:r>
        <w:rPr>
          <w:rFonts w:ascii="Arial" w:hAnsi="Arial" w:eastAsia="Arial" w:cs="Arial"/>
          <w:b w:val="0"/>
          <w:bCs w:val="0"/>
          <w:i w:val="0"/>
          <w:iCs w:val="0"/>
          <w:color w:val="2D3748"/>
          <w:sz w:val="18"/>
          <w:szCs w:val="18"/>
        </w:rPr>
        <w:t>TechNova Bhubaneswar (TNBH)</w:t>
      </w:r>
    </w:p>
    <w:p w14:paraId="7FF906D9">
      <w:pPr>
        <w:spacing w:before="0" w:after="8"/>
      </w:pPr>
    </w:p>
    <w:tbl>
      <w:tblPr>
        <w:tblStyle w:val="9"/>
        <w:tblW w:w="104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2"/>
        <w:gridCol w:w="992"/>
        <w:gridCol w:w="926"/>
        <w:gridCol w:w="1031"/>
        <w:gridCol w:w="1329"/>
        <w:gridCol w:w="1413"/>
        <w:gridCol w:w="2732"/>
      </w:tblGrid>
      <w:tr w14:paraId="2B876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72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D34EDD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992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F5F30B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Qty</w:t>
            </w:r>
          </w:p>
        </w:tc>
        <w:tc>
          <w:tcPr>
            <w:tcW w:w="92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0B0186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Unit Price</w:t>
            </w:r>
          </w:p>
        </w:tc>
        <w:tc>
          <w:tcPr>
            <w:tcW w:w="1031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9912E8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Discount 5%</w:t>
            </w:r>
          </w:p>
        </w:tc>
        <w:tc>
          <w:tcPr>
            <w:tcW w:w="132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6B4CD4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Net Value</w:t>
            </w:r>
          </w:p>
        </w:tc>
        <w:tc>
          <w:tcPr>
            <w:tcW w:w="1413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FEC5A2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IGST 18%</w:t>
            </w:r>
          </w:p>
        </w:tc>
        <w:tc>
          <w:tcPr>
            <w:tcW w:w="2732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7289A6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PO Total</w:t>
            </w:r>
          </w:p>
        </w:tc>
      </w:tr>
      <w:tr w14:paraId="34471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2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C31E4B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Lithium Battery Module (TN-LBM-220)</w:t>
            </w:r>
          </w:p>
        </w:tc>
        <w:tc>
          <w:tcPr>
            <w:tcW w:w="992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003F14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500 units</w:t>
            </w:r>
          </w:p>
        </w:tc>
        <w:tc>
          <w:tcPr>
            <w:tcW w:w="92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9E96BC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INR 3,200</w:t>
            </w:r>
          </w:p>
        </w:tc>
        <w:tc>
          <w:tcPr>
            <w:tcW w:w="1031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E33A42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INR 80/unit</w:t>
            </w:r>
          </w:p>
        </w:tc>
        <w:tc>
          <w:tcPr>
            <w:tcW w:w="132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A4E8429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INR 15,60,000</w:t>
            </w:r>
          </w:p>
        </w:tc>
        <w:tc>
          <w:tcPr>
            <w:tcW w:w="1413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36AB95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INR 2,80,800</w:t>
            </w:r>
          </w:p>
        </w:tc>
        <w:tc>
          <w:tcPr>
            <w:tcW w:w="2732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010196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INR 18,40,800</w:t>
            </w:r>
          </w:p>
        </w:tc>
      </w:tr>
    </w:tbl>
    <w:p w14:paraId="298E4D05">
      <w:pPr>
        <w:spacing w:before="0" w:after="18"/>
      </w:pPr>
    </w:p>
    <w:p w14:paraId="0909BE03">
      <w:pPr>
        <w:pStyle w:val="16"/>
        <w:numPr>
          <w:ilvl w:val="0"/>
          <w:numId w:val="1"/>
        </w:numPr>
        <w:spacing w:before="22" w:after="22" w:line="244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2D3748"/>
          <w:sz w:val="18"/>
          <w:szCs w:val="18"/>
        </w:rPr>
        <w:t>Payment terms: Z030 (Net 30 days) | Early settlement: 2% SKTO discount within 10 days — INR 31,200 availed via F110 on Day 29.</w:t>
      </w:r>
    </w:p>
    <w:p w14:paraId="6B2F5E64">
      <w:pPr>
        <w:pStyle w:val="16"/>
        <w:numPr>
          <w:ilvl w:val="0"/>
          <w:numId w:val="1"/>
        </w:numPr>
        <w:spacing w:before="22" w:after="22" w:line="244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2D3748"/>
          <w:sz w:val="18"/>
          <w:szCs w:val="18"/>
        </w:rPr>
        <w:t>MRP-generated PR converted to PO via ME59N after source list validation against LPA agreement LPA-TN-2024-018 with PowerCell.</w:t>
      </w:r>
    </w:p>
    <w:p w14:paraId="739062CF">
      <w:pPr>
        <w:pStyle w:val="16"/>
        <w:numPr>
          <w:ilvl w:val="0"/>
          <w:numId w:val="1"/>
        </w:numPr>
        <w:spacing w:before="22" w:after="22" w:line="244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2D3748"/>
          <w:sz w:val="18"/>
          <w:szCs w:val="18"/>
        </w:rPr>
        <w:t>MIGO: QM inspection lot QM-2026-1142 — 25-unit AQL sample passed; usage decision granted within 4 hrs of delivery at TNBH.</w:t>
      </w:r>
    </w:p>
    <w:p w14:paraId="0E7AF6F0">
      <w:pPr>
        <w:pStyle w:val="16"/>
        <w:numPr>
          <w:ilvl w:val="0"/>
          <w:numId w:val="1"/>
        </w:numPr>
        <w:spacing w:before="22" w:after="22" w:line="244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2D3748"/>
          <w:sz w:val="18"/>
          <w:szCs w:val="18"/>
        </w:rPr>
        <w:t>MIRO 3-way match: PO 500 = GR 500 = Invoice 500 — auto-posted. IGST input credit INR 2,80,800 posted to GL 140200.</w:t>
      </w:r>
    </w:p>
    <w:p w14:paraId="4F8B98FC">
      <w:pPr>
        <w:pStyle w:val="16"/>
        <w:numPr>
          <w:ilvl w:val="0"/>
          <w:numId w:val="1"/>
        </w:numPr>
        <w:spacing w:before="22" w:after="22" w:line="244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2D3748"/>
          <w:sz w:val="18"/>
          <w:szCs w:val="18"/>
        </w:rPr>
        <w:t>F110 NEFT payment Day 29 | Vendor GL 200100 fully cleared | DPO = 29 days (within Z030 Net-30 terms).</w:t>
      </w:r>
    </w:p>
    <w:p w14:paraId="35CD5E9B">
      <w:pPr>
        <w:spacing w:before="0" w:after="30"/>
      </w:pPr>
    </w:p>
    <w:p w14:paraId="343DD3F6">
      <w:pPr>
        <w:pBdr>
          <w:left w:val="single" w:color="C9900A" w:sz="18" w:space="8"/>
        </w:pBdr>
        <w:spacing w:before="55" w:after="28"/>
      </w:pPr>
      <w:r>
        <w:rPr>
          <w:rFonts w:ascii="Arial" w:hAnsi="Arial" w:eastAsia="Arial" w:cs="Arial"/>
          <w:b/>
          <w:bCs/>
          <w:i w:val="0"/>
          <w:iCs w:val="0"/>
          <w:color w:val="0B4F5E"/>
          <w:sz w:val="20"/>
          <w:szCs w:val="20"/>
        </w:rPr>
        <w:t>2.2 PO Approval Workflow</w:t>
      </w:r>
    </w:p>
    <w:p w14:paraId="64635180">
      <w:pPr>
        <w:spacing w:before="0" w:after="8"/>
      </w:pPr>
    </w:p>
    <w:tbl>
      <w:tblPr>
        <w:tblStyle w:val="9"/>
        <w:tblW w:w="104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76"/>
        <w:gridCol w:w="2624"/>
        <w:gridCol w:w="2742"/>
        <w:gridCol w:w="2753"/>
      </w:tblGrid>
      <w:tr w14:paraId="337CE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7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967122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PO Value Band</w:t>
            </w:r>
          </w:p>
        </w:tc>
        <w:tc>
          <w:tcPr>
            <w:tcW w:w="2624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16958B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Approver Level</w:t>
            </w:r>
          </w:p>
        </w:tc>
        <w:tc>
          <w:tcPr>
            <w:tcW w:w="2742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47DF70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Release Code</w:t>
            </w:r>
          </w:p>
        </w:tc>
        <w:tc>
          <w:tcPr>
            <w:tcW w:w="2753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3EE348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SLA Target</w:t>
            </w:r>
          </w:p>
        </w:tc>
      </w:tr>
      <w:tr w14:paraId="64B0D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1F49BE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Up to INR 2 lakh</w:t>
            </w:r>
          </w:p>
        </w:tc>
        <w:tc>
          <w:tcPr>
            <w:tcW w:w="2624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BB6764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Purchase Officer</w:t>
            </w:r>
          </w:p>
        </w:tc>
        <w:tc>
          <w:tcPr>
            <w:tcW w:w="2742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703818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Z1 — ME29N</w:t>
            </w:r>
          </w:p>
        </w:tc>
        <w:tc>
          <w:tcPr>
            <w:tcW w:w="2753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1782E0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4 business hours</w:t>
            </w:r>
          </w:p>
        </w:tc>
      </w:tr>
      <w:tr w14:paraId="707E2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2DA034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INR 2L – 10 lakh</w:t>
            </w:r>
          </w:p>
        </w:tc>
        <w:tc>
          <w:tcPr>
            <w:tcW w:w="2624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FA8FAD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Procurement Manager</w:t>
            </w:r>
          </w:p>
        </w:tc>
        <w:tc>
          <w:tcPr>
            <w:tcW w:w="2742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F59A6E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Z2 — ME29N</w:t>
            </w:r>
          </w:p>
        </w:tc>
        <w:tc>
          <w:tcPr>
            <w:tcW w:w="2753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069E0E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8 business hours</w:t>
            </w:r>
          </w:p>
        </w:tc>
      </w:tr>
      <w:tr w14:paraId="252BA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143A57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INR 10L – 50 lakh</w:t>
            </w:r>
          </w:p>
        </w:tc>
        <w:tc>
          <w:tcPr>
            <w:tcW w:w="2624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C78833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VP Operations</w:t>
            </w:r>
          </w:p>
        </w:tc>
        <w:tc>
          <w:tcPr>
            <w:tcW w:w="2742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090944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Z3 + email</w:t>
            </w:r>
          </w:p>
        </w:tc>
        <w:tc>
          <w:tcPr>
            <w:tcW w:w="2753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A93A75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1 business day</w:t>
            </w:r>
          </w:p>
        </w:tc>
      </w:tr>
      <w:tr w14:paraId="2B3E09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7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9FAA91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Above INR 50 lakh</w:t>
            </w:r>
          </w:p>
        </w:tc>
        <w:tc>
          <w:tcPr>
            <w:tcW w:w="2624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DFF8F6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CFO + MD dual sign</w:t>
            </w:r>
          </w:p>
        </w:tc>
        <w:tc>
          <w:tcPr>
            <w:tcW w:w="2742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156BAA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Z4 + Z5</w:t>
            </w:r>
          </w:p>
        </w:tc>
        <w:tc>
          <w:tcPr>
            <w:tcW w:w="2753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0BD048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2 business days</w:t>
            </w:r>
          </w:p>
        </w:tc>
      </w:tr>
    </w:tbl>
    <w:p w14:paraId="71526DBB">
      <w:r>
        <w:br w:type="page"/>
      </w: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"/>
        <w:gridCol w:w="9306"/>
      </w:tblGrid>
      <w:tr w14:paraId="676F7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C9900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382A0E"/>
        </w:tc>
        <w:tc>
          <w:tcPr>
            <w:tcW w:w="9306" w:type="dxa"/>
            <w:tcBorders>
              <w:top w:val="single" w:color="0B4F5E" w:sz="2" w:space="0"/>
              <w:left w:val="nil"/>
              <w:bottom w:val="single" w:color="C9900A" w:sz="8" w:space="0"/>
              <w:right w:val="single" w:color="0B4F5E" w:sz="2" w:space="0"/>
            </w:tcBorders>
            <w:shd w:val="clear" w:color="auto" w:fill="0B4F5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828CDC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900A"/>
                <w:sz w:val="21"/>
                <w:szCs w:val="21"/>
              </w:rPr>
              <w:t xml:space="preserve">3.  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1"/>
                <w:szCs w:val="21"/>
              </w:rPr>
              <w:t>SAP FI Integration, Configuration &amp; Technology Stack</w:t>
            </w:r>
          </w:p>
        </w:tc>
      </w:tr>
    </w:tbl>
    <w:p w14:paraId="3958B894">
      <w:pPr>
        <w:spacing w:before="0" w:after="18"/>
      </w:pPr>
    </w:p>
    <w:p w14:paraId="43FE263A">
      <w:pPr>
        <w:pBdr>
          <w:left w:val="single" w:color="C9900A" w:sz="18" w:space="8"/>
        </w:pBdr>
        <w:spacing w:before="55" w:after="28"/>
      </w:pPr>
      <w:r>
        <w:rPr>
          <w:rFonts w:ascii="Arial" w:hAnsi="Arial" w:eastAsia="Arial" w:cs="Arial"/>
          <w:b/>
          <w:bCs/>
          <w:i w:val="0"/>
          <w:iCs w:val="0"/>
          <w:color w:val="0B4F5E"/>
          <w:sz w:val="20"/>
          <w:szCs w:val="20"/>
        </w:rPr>
        <w:t>3.1 Automatic FI Journal Entries — MM-FI Integration (PO-TN-2026-0312)</w:t>
      </w:r>
    </w:p>
    <w:p w14:paraId="21E468E5">
      <w:pPr>
        <w:spacing w:before="0" w:after="8"/>
      </w:pPr>
    </w:p>
    <w:p w14:paraId="468FA8EB">
      <w:pPr>
        <w:spacing w:before="10" w:after="14" w:line="254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2D3748"/>
          <w:sz w:val="19"/>
          <w:szCs w:val="19"/>
        </w:rPr>
        <w:t>All financial entries are auto-posted by SAP MM-FI integration — zero manual journal booking. GL determination is governed by OBYC transaction keys (WRX for GR/IR, GBB for inventory, PRD for price variance, KDM for exchange rate).</w:t>
      </w:r>
    </w:p>
    <w:tbl>
      <w:tblPr>
        <w:tblStyle w:val="9"/>
        <w:tblW w:w="1041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11"/>
        <w:gridCol w:w="1062"/>
        <w:gridCol w:w="2299"/>
        <w:gridCol w:w="2681"/>
        <w:gridCol w:w="2659"/>
      </w:tblGrid>
      <w:tr w14:paraId="60E74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11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59E3AC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Business Event</w:t>
            </w:r>
          </w:p>
        </w:tc>
        <w:tc>
          <w:tcPr>
            <w:tcW w:w="1062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8F1259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T-Code</w:t>
            </w:r>
          </w:p>
        </w:tc>
        <w:tc>
          <w:tcPr>
            <w:tcW w:w="229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2FCA58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Debit Account</w:t>
            </w:r>
          </w:p>
        </w:tc>
        <w:tc>
          <w:tcPr>
            <w:tcW w:w="2681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2CCA71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Credit Account</w:t>
            </w:r>
          </w:p>
        </w:tc>
        <w:tc>
          <w:tcPr>
            <w:tcW w:w="265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D9050C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Amount (INR)</w:t>
            </w:r>
          </w:p>
        </w:tc>
      </w:tr>
      <w:tr w14:paraId="59CA92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1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836A4C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Goods Receipt</w:t>
            </w:r>
          </w:p>
        </w:tc>
        <w:tc>
          <w:tcPr>
            <w:tcW w:w="1062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D1A9319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MIGO (101)</w:t>
            </w:r>
          </w:p>
        </w:tc>
        <w:tc>
          <w:tcPr>
            <w:tcW w:w="229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BDBCA9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Inventory — GL 310200</w:t>
            </w:r>
          </w:p>
        </w:tc>
        <w:tc>
          <w:tcPr>
            <w:tcW w:w="2681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2CCC05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GR/IR Clearing — GL 212100</w:t>
            </w:r>
          </w:p>
        </w:tc>
        <w:tc>
          <w:tcPr>
            <w:tcW w:w="265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8442768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15,60,000</w:t>
            </w:r>
          </w:p>
        </w:tc>
      </w:tr>
      <w:tr w14:paraId="39E54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1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0BF880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Price Variance (GR)</w:t>
            </w:r>
          </w:p>
        </w:tc>
        <w:tc>
          <w:tcPr>
            <w:tcW w:w="1062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D1E655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MIGO (101)</w:t>
            </w:r>
          </w:p>
        </w:tc>
        <w:tc>
          <w:tcPr>
            <w:tcW w:w="229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A0D7B0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Price Diff — GL 231500</w:t>
            </w:r>
          </w:p>
        </w:tc>
        <w:tc>
          <w:tcPr>
            <w:tcW w:w="2681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75E455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Inventory — GL 310200</w:t>
            </w:r>
          </w:p>
        </w:tc>
        <w:tc>
          <w:tcPr>
            <w:tcW w:w="265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E814C5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1,10,000</w:t>
            </w:r>
          </w:p>
        </w:tc>
      </w:tr>
      <w:tr w14:paraId="2AACC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1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19D52C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Invoice Verification</w:t>
            </w:r>
          </w:p>
        </w:tc>
        <w:tc>
          <w:tcPr>
            <w:tcW w:w="1062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965A34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MIRO</w:t>
            </w:r>
          </w:p>
        </w:tc>
        <w:tc>
          <w:tcPr>
            <w:tcW w:w="229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A6CDEA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GR/IR Clearing — GL 212100</w:t>
            </w:r>
          </w:p>
        </w:tc>
        <w:tc>
          <w:tcPr>
            <w:tcW w:w="2681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7795788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Vendor AP — GL 200100</w:t>
            </w:r>
          </w:p>
        </w:tc>
        <w:tc>
          <w:tcPr>
            <w:tcW w:w="265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8ACC2A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15,60,000</w:t>
            </w:r>
          </w:p>
        </w:tc>
      </w:tr>
      <w:tr w14:paraId="05F2DE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1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A3B303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IGST Input Credit</w:t>
            </w:r>
          </w:p>
        </w:tc>
        <w:tc>
          <w:tcPr>
            <w:tcW w:w="1062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1C8D59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MIRO</w:t>
            </w:r>
          </w:p>
        </w:tc>
        <w:tc>
          <w:tcPr>
            <w:tcW w:w="229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42C2F1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IGST Recov. — GL 140200</w:t>
            </w:r>
          </w:p>
        </w:tc>
        <w:tc>
          <w:tcPr>
            <w:tcW w:w="2681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AFC435E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Vendor AP — GL 200100</w:t>
            </w:r>
          </w:p>
        </w:tc>
        <w:tc>
          <w:tcPr>
            <w:tcW w:w="265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A7F1A7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2,80,800</w:t>
            </w:r>
          </w:p>
        </w:tc>
      </w:tr>
      <w:tr w14:paraId="4C58F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1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28E262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Freight Charge</w:t>
            </w:r>
          </w:p>
        </w:tc>
        <w:tc>
          <w:tcPr>
            <w:tcW w:w="1062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BB544AE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MIRO</w:t>
            </w:r>
          </w:p>
        </w:tc>
        <w:tc>
          <w:tcPr>
            <w:tcW w:w="229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4A97C5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Freight In — GL 540100</w:t>
            </w:r>
          </w:p>
        </w:tc>
        <w:tc>
          <w:tcPr>
            <w:tcW w:w="2681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27E50C9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Vendor AP — GL 200100</w:t>
            </w:r>
          </w:p>
        </w:tc>
        <w:tc>
          <w:tcPr>
            <w:tcW w:w="265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0C196D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12,000</w:t>
            </w:r>
          </w:p>
        </w:tc>
      </w:tr>
      <w:tr w14:paraId="73F7C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1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A9E5F2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Early Pay Discount</w:t>
            </w:r>
          </w:p>
        </w:tc>
        <w:tc>
          <w:tcPr>
            <w:tcW w:w="1062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2FFE38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F110</w:t>
            </w:r>
          </w:p>
        </w:tc>
        <w:tc>
          <w:tcPr>
            <w:tcW w:w="229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3AC8538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Vendor AP — GL 200100</w:t>
            </w:r>
          </w:p>
        </w:tc>
        <w:tc>
          <w:tcPr>
            <w:tcW w:w="2681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456258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Discount Earned — GL 740200</w:t>
            </w:r>
          </w:p>
        </w:tc>
        <w:tc>
          <w:tcPr>
            <w:tcW w:w="265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1676E1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31,200</w:t>
            </w:r>
          </w:p>
        </w:tc>
      </w:tr>
      <w:tr w14:paraId="46E54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11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A7B0B08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Vendor Payment NEFT</w:t>
            </w:r>
          </w:p>
        </w:tc>
        <w:tc>
          <w:tcPr>
            <w:tcW w:w="1062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4C9D4A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F110</w:t>
            </w:r>
          </w:p>
        </w:tc>
        <w:tc>
          <w:tcPr>
            <w:tcW w:w="229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048842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Vendor AP — GL 200100</w:t>
            </w:r>
          </w:p>
        </w:tc>
        <w:tc>
          <w:tcPr>
            <w:tcW w:w="2681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9F9CC6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Bank — GL 100200</w:t>
            </w:r>
          </w:p>
        </w:tc>
        <w:tc>
          <w:tcPr>
            <w:tcW w:w="265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0BADAA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18,21,600</w:t>
            </w:r>
          </w:p>
        </w:tc>
      </w:tr>
    </w:tbl>
    <w:p w14:paraId="7ADFC737">
      <w:pPr>
        <w:spacing w:before="0" w:after="36"/>
      </w:pPr>
    </w:p>
    <w:p w14:paraId="0FD7A311">
      <w:pPr>
        <w:pBdr>
          <w:left w:val="single" w:color="C9900A" w:sz="18" w:space="8"/>
        </w:pBdr>
        <w:spacing w:before="55" w:after="28"/>
      </w:pPr>
      <w:r>
        <w:rPr>
          <w:rFonts w:ascii="Arial" w:hAnsi="Arial" w:eastAsia="Arial" w:cs="Arial"/>
          <w:b/>
          <w:bCs/>
          <w:i w:val="0"/>
          <w:iCs w:val="0"/>
          <w:color w:val="0B4F5E"/>
          <w:sz w:val="20"/>
          <w:szCs w:val="20"/>
        </w:rPr>
        <w:t>3.2 Key SAP Data Tables — P2P Data Pipeline</w:t>
      </w:r>
    </w:p>
    <w:p w14:paraId="56678075">
      <w:pPr>
        <w:spacing w:before="0" w:after="8"/>
      </w:pPr>
    </w:p>
    <w:tbl>
      <w:tblPr>
        <w:tblStyle w:val="9"/>
        <w:tblW w:w="104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8"/>
        <w:gridCol w:w="1681"/>
        <w:gridCol w:w="7113"/>
      </w:tblGrid>
      <w:tr w14:paraId="11E16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608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3791FC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Table</w:t>
            </w:r>
          </w:p>
        </w:tc>
        <w:tc>
          <w:tcPr>
            <w:tcW w:w="1681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929D6C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Module</w:t>
            </w:r>
          </w:p>
        </w:tc>
        <w:tc>
          <w:tcPr>
            <w:tcW w:w="7113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0CCA2D8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Content &amp; P2P Role</w:t>
            </w:r>
          </w:p>
        </w:tc>
      </w:tr>
      <w:tr w14:paraId="50C8A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8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FB7CCB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EKKO / EKPO</w:t>
            </w:r>
          </w:p>
        </w:tc>
        <w:tc>
          <w:tcPr>
            <w:tcW w:w="1681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B641D4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SAP MM</w:t>
            </w:r>
          </w:p>
        </w:tc>
        <w:tc>
          <w:tcPr>
            <w:tcW w:w="7113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233960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PO header and item: vendor, material, qty, net price, delivery date, release status</w:t>
            </w:r>
          </w:p>
        </w:tc>
      </w:tr>
      <w:tr w14:paraId="02172C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8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F9C48A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MKPF / MSEG</w:t>
            </w:r>
          </w:p>
        </w:tc>
        <w:tc>
          <w:tcPr>
            <w:tcW w:w="1681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58F842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SAP MM</w:t>
            </w:r>
          </w:p>
        </w:tc>
        <w:tc>
          <w:tcPr>
            <w:tcW w:w="7113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A7DB46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Material document: movement type, quantity posted, storage location, batch, valuation</w:t>
            </w:r>
          </w:p>
        </w:tc>
      </w:tr>
      <w:tr w14:paraId="742B9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8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6BCF2B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LFA1 / LFB1</w:t>
            </w:r>
          </w:p>
        </w:tc>
        <w:tc>
          <w:tcPr>
            <w:tcW w:w="1681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900381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SAP MM</w:t>
            </w:r>
          </w:p>
        </w:tc>
        <w:tc>
          <w:tcPr>
            <w:tcW w:w="7113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50DF30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Vendor master: GSTIN, payment terms, reconciliation account, bank details</w:t>
            </w:r>
          </w:p>
        </w:tc>
      </w:tr>
      <w:tr w14:paraId="54A1F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8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BA88D0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RBKP / RSEG</w:t>
            </w:r>
          </w:p>
        </w:tc>
        <w:tc>
          <w:tcPr>
            <w:tcW w:w="1681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2A0F46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SAP MM + FI</w:t>
            </w:r>
          </w:p>
        </w:tc>
        <w:tc>
          <w:tcPr>
            <w:tcW w:w="7113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9A2EA7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MIRO invoice header and lines: tax code, 3-way match reference, block status</w:t>
            </w:r>
          </w:p>
        </w:tc>
      </w:tr>
      <w:tr w14:paraId="5D695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8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A14A96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BSIK / BSAK</w:t>
            </w:r>
          </w:p>
        </w:tc>
        <w:tc>
          <w:tcPr>
            <w:tcW w:w="1681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C2DCDD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SAP FI</w:t>
            </w:r>
          </w:p>
        </w:tc>
        <w:tc>
          <w:tcPr>
            <w:tcW w:w="7113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CD545B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Open and cleared vendor AP items: payment status, due date, DPO calculation</w:t>
            </w:r>
          </w:p>
        </w:tc>
      </w:tr>
    </w:tbl>
    <w:p w14:paraId="753CA1F8">
      <w:pPr>
        <w:spacing w:before="0" w:after="36"/>
      </w:pPr>
    </w:p>
    <w:p w14:paraId="26A32E43">
      <w:pPr>
        <w:pBdr>
          <w:left w:val="single" w:color="C9900A" w:sz="18" w:space="8"/>
        </w:pBdr>
        <w:spacing w:before="55" w:after="28"/>
      </w:pPr>
      <w:r>
        <w:rPr>
          <w:rFonts w:ascii="Arial" w:hAnsi="Arial" w:eastAsia="Arial" w:cs="Arial"/>
          <w:b/>
          <w:bCs/>
          <w:i w:val="0"/>
          <w:iCs w:val="0"/>
          <w:color w:val="0B4F5E"/>
          <w:sz w:val="20"/>
          <w:szCs w:val="20"/>
        </w:rPr>
        <w:t>3.3 Technology Stack</w:t>
      </w:r>
    </w:p>
    <w:p w14:paraId="1C8DAB28">
      <w:pPr>
        <w:spacing w:before="0" w:after="8"/>
      </w:pPr>
    </w:p>
    <w:tbl>
      <w:tblPr>
        <w:tblStyle w:val="9"/>
        <w:tblW w:w="103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4"/>
        <w:gridCol w:w="2969"/>
        <w:gridCol w:w="5629"/>
      </w:tblGrid>
      <w:tr w14:paraId="3D670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794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6C95FC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296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F606BB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Technology</w:t>
            </w:r>
          </w:p>
        </w:tc>
        <w:tc>
          <w:tcPr>
            <w:tcW w:w="562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0499FC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Purpose</w:t>
            </w:r>
          </w:p>
        </w:tc>
      </w:tr>
      <w:tr w14:paraId="7D1BCA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94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FD26B4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Transactional ERP</w:t>
            </w:r>
          </w:p>
        </w:tc>
        <w:tc>
          <w:tcPr>
            <w:tcW w:w="296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CE99FF5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SAP S/4HANA Cloud (Public Ed.)</w:t>
            </w:r>
          </w:p>
        </w:tc>
        <w:tc>
          <w:tcPr>
            <w:tcW w:w="562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C16FEE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Core P2P execution across MM, FI, QM, WM modules</w:t>
            </w:r>
          </w:p>
        </w:tc>
      </w:tr>
      <w:tr w14:paraId="05581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94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C1241E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Materials Management</w:t>
            </w:r>
          </w:p>
        </w:tc>
        <w:tc>
          <w:tcPr>
            <w:tcW w:w="296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629369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SAP MM — ME21N / MIGO / MIRO</w:t>
            </w:r>
          </w:p>
        </w:tc>
        <w:tc>
          <w:tcPr>
            <w:tcW w:w="562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2E3BC0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PR, PO, goods receipt, 3-way invoice match</w:t>
            </w:r>
          </w:p>
        </w:tc>
      </w:tr>
      <w:tr w14:paraId="37923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94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66A4E07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Financial Accounting</w:t>
            </w:r>
          </w:p>
        </w:tc>
        <w:tc>
          <w:tcPr>
            <w:tcW w:w="296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1823419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SAP FI — F110, OBYC, BSAK</w:t>
            </w:r>
          </w:p>
        </w:tc>
        <w:tc>
          <w:tcPr>
            <w:tcW w:w="562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B19B658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Vendor AP, GL auto-posting, payment runs</w:t>
            </w:r>
          </w:p>
        </w:tc>
      </w:tr>
      <w:tr w14:paraId="13D5D8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94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6F7D98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Data Integration</w:t>
            </w:r>
          </w:p>
        </w:tc>
        <w:tc>
          <w:tcPr>
            <w:tcW w:w="296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487595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CDS Views + OData V4 APIs</w:t>
            </w:r>
          </w:p>
        </w:tc>
        <w:tc>
          <w:tcPr>
            <w:tcW w:w="562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44E305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Real-time CDC from MM/FI tables into BDC layer</w:t>
            </w:r>
          </w:p>
        </w:tc>
      </w:tr>
      <w:tr w14:paraId="37B3B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94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B5C6A8B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Analytics Platform</w:t>
            </w:r>
          </w:p>
        </w:tc>
        <w:tc>
          <w:tcPr>
            <w:tcW w:w="296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5BD4DB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SAP Business Data Cloud (BDC)</w:t>
            </w:r>
          </w:p>
        </w:tc>
        <w:tc>
          <w:tcPr>
            <w:tcW w:w="562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9C9C31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Live spend KPIs, vendor scorecards, risk alerts</w:t>
            </w:r>
          </w:p>
        </w:tc>
      </w:tr>
      <w:tr w14:paraId="09549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94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53433D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Predictive Analytics</w:t>
            </w:r>
          </w:p>
        </w:tc>
        <w:tc>
          <w:tcPr>
            <w:tcW w:w="296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C92AC9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SAP Analytics Cloud — Smart Predict</w:t>
            </w:r>
          </w:p>
        </w:tc>
        <w:tc>
          <w:tcPr>
            <w:tcW w:w="562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FE29EC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Demand forecast, DPO trend, spend anomaly detection</w:t>
            </w:r>
          </w:p>
        </w:tc>
      </w:tr>
      <w:tr w14:paraId="18C36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94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708C91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Process Automation</w:t>
            </w:r>
          </w:p>
        </w:tc>
        <w:tc>
          <w:tcPr>
            <w:tcW w:w="296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38538F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SAP Build Process Automation</w:t>
            </w:r>
          </w:p>
        </w:tc>
        <w:tc>
          <w:tcPr>
            <w:tcW w:w="562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C709CF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PO approval routing, MIRO exception workflows</w:t>
            </w:r>
          </w:p>
        </w:tc>
      </w:tr>
      <w:tr w14:paraId="21B783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94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C7C6FB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GST Compliance</w:t>
            </w:r>
          </w:p>
        </w:tc>
        <w:tc>
          <w:tcPr>
            <w:tcW w:w="296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509DDF6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SAP GST India Localisation</w:t>
            </w:r>
          </w:p>
        </w:tc>
        <w:tc>
          <w:tcPr>
            <w:tcW w:w="562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ED836E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IGST/CGST/SGST split, e-Invoice IRN generation</w:t>
            </w:r>
          </w:p>
        </w:tc>
      </w:tr>
    </w:tbl>
    <w:p w14:paraId="3893E624">
      <w:r>
        <w:br w:type="page"/>
      </w: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"/>
        <w:gridCol w:w="9306"/>
      </w:tblGrid>
      <w:tr w14:paraId="41A1B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C9900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9B9EEE"/>
        </w:tc>
        <w:tc>
          <w:tcPr>
            <w:tcW w:w="9306" w:type="dxa"/>
            <w:tcBorders>
              <w:top w:val="single" w:color="0B4F5E" w:sz="2" w:space="0"/>
              <w:left w:val="nil"/>
              <w:bottom w:val="single" w:color="C9900A" w:sz="8" w:space="0"/>
              <w:right w:val="single" w:color="0B4F5E" w:sz="2" w:space="0"/>
            </w:tcBorders>
            <w:shd w:val="clear" w:color="auto" w:fill="0B4F5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62FE311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900A"/>
                <w:sz w:val="21"/>
                <w:szCs w:val="21"/>
              </w:rPr>
              <w:t xml:space="preserve">4.  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1"/>
                <w:szCs w:val="21"/>
              </w:rPr>
              <w:t>SAP Business Data Cloud — Analytics Layer &amp; KPI Dashboard</w:t>
            </w:r>
          </w:p>
        </w:tc>
      </w:tr>
    </w:tbl>
    <w:p w14:paraId="6BB7B68E">
      <w:pPr>
        <w:spacing w:before="0" w:after="18"/>
      </w:pPr>
    </w:p>
    <w:p w14:paraId="1028AACD">
      <w:pPr>
        <w:spacing w:before="10" w:after="18" w:line="254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2D3748"/>
          <w:sz w:val="19"/>
          <w:szCs w:val="19"/>
        </w:rPr>
        <w:t>SAP BDC ingests CDC events from EKKO, MKPF, RBKP, BSIK, and LFA1 with sub-5-minute refresh latency without impacting ERP performance. Five dashboard modules were configured for TechNova Electronics, each aligned to a specific procurement decision role and business outcome.</w:t>
      </w:r>
    </w:p>
    <w:tbl>
      <w:tblPr>
        <w:tblStyle w:val="9"/>
        <w:tblW w:w="1043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4"/>
        <w:gridCol w:w="2309"/>
        <w:gridCol w:w="4196"/>
        <w:gridCol w:w="1814"/>
      </w:tblGrid>
      <w:tr w14:paraId="6231D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114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707B98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Dashboard Module</w:t>
            </w:r>
          </w:p>
        </w:tc>
        <w:tc>
          <w:tcPr>
            <w:tcW w:w="230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FD456E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Primary User</w:t>
            </w:r>
          </w:p>
        </w:tc>
        <w:tc>
          <w:tcPr>
            <w:tcW w:w="419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786B529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Core Metrics</w:t>
            </w:r>
          </w:p>
        </w:tc>
        <w:tc>
          <w:tcPr>
            <w:tcW w:w="1814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86C0D9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Refresh</w:t>
            </w:r>
          </w:p>
        </w:tc>
      </w:tr>
      <w:tr w14:paraId="76590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14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2D2303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Procurement Spend Dashboard</w:t>
            </w:r>
          </w:p>
        </w:tc>
        <w:tc>
          <w:tcPr>
            <w:tcW w:w="230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26DAB9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CPO / CFO</w:t>
            </w:r>
          </w:p>
        </w:tc>
        <w:tc>
          <w:tcPr>
            <w:tcW w:w="419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9E32E2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Total spend vs. budget, category split, savings realised</w:t>
            </w:r>
          </w:p>
        </w:tc>
        <w:tc>
          <w:tcPr>
            <w:tcW w:w="1814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757668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5 min</w:t>
            </w:r>
          </w:p>
        </w:tc>
      </w:tr>
      <w:tr w14:paraId="0BDDD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14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AAA8CC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Vendor Performance Scorecard</w:t>
            </w:r>
          </w:p>
        </w:tc>
        <w:tc>
          <w:tcPr>
            <w:tcW w:w="230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C443EE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Procurement Manager</w:t>
            </w:r>
          </w:p>
        </w:tc>
        <w:tc>
          <w:tcPr>
            <w:tcW w:w="419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B76E5E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On-time delivery %, rejection rate, price compliance %</w:t>
            </w:r>
          </w:p>
        </w:tc>
        <w:tc>
          <w:tcPr>
            <w:tcW w:w="1814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12AFC6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10 min</w:t>
            </w:r>
          </w:p>
        </w:tc>
      </w:tr>
      <w:tr w14:paraId="2FDE6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14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9B8FA4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Inventory Risk Monitor</w:t>
            </w:r>
          </w:p>
        </w:tc>
        <w:tc>
          <w:tcPr>
            <w:tcW w:w="230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C7BA0D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Plant Manager</w:t>
            </w:r>
          </w:p>
        </w:tc>
        <w:tc>
          <w:tcPr>
            <w:tcW w:w="419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88F07A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Days of cover, stockout probability, reorder breach alerts</w:t>
            </w:r>
          </w:p>
        </w:tc>
        <w:tc>
          <w:tcPr>
            <w:tcW w:w="1814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42BE27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8 min</w:t>
            </w:r>
          </w:p>
        </w:tc>
      </w:tr>
      <w:tr w14:paraId="7ECEA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14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7D6EC0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Invoice Accuracy Tracker</w:t>
            </w:r>
          </w:p>
        </w:tc>
        <w:tc>
          <w:tcPr>
            <w:tcW w:w="230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63C385E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P2P Lead / AP Team</w:t>
            </w:r>
          </w:p>
        </w:tc>
        <w:tc>
          <w:tcPr>
            <w:tcW w:w="419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9617CD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3-way match fail rate, MIRO block count, cycle time</w:t>
            </w:r>
          </w:p>
        </w:tc>
        <w:tc>
          <w:tcPr>
            <w:tcW w:w="1814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B16B7A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15 min</w:t>
            </w:r>
          </w:p>
        </w:tc>
      </w:tr>
      <w:tr w14:paraId="21F6C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114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7AD7F28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Payment Efficiency Dashboard</w:t>
            </w:r>
          </w:p>
        </w:tc>
        <w:tc>
          <w:tcPr>
            <w:tcW w:w="230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ECD7D78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Finance Controller</w:t>
            </w:r>
          </w:p>
        </w:tc>
        <w:tc>
          <w:tcPr>
            <w:tcW w:w="419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4E30C8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DPO trend, early discount capture %, AP aging</w:t>
            </w:r>
          </w:p>
        </w:tc>
        <w:tc>
          <w:tcPr>
            <w:tcW w:w="1814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834002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Daily</w:t>
            </w:r>
          </w:p>
        </w:tc>
      </w:tr>
    </w:tbl>
    <w:p w14:paraId="2DF68F2D">
      <w:pPr>
        <w:spacing w:before="0" w:after="34"/>
      </w:pPr>
    </w:p>
    <w:p w14:paraId="4D4C5864">
      <w:pPr>
        <w:pBdr>
          <w:left w:val="single" w:color="C9900A" w:sz="18" w:space="8"/>
        </w:pBdr>
        <w:spacing w:before="55" w:after="28"/>
      </w:pPr>
      <w:r>
        <w:rPr>
          <w:rFonts w:ascii="Arial" w:hAnsi="Arial" w:eastAsia="Arial" w:cs="Arial"/>
          <w:b/>
          <w:bCs/>
          <w:i w:val="0"/>
          <w:iCs w:val="0"/>
          <w:color w:val="0B4F5E"/>
          <w:sz w:val="20"/>
          <w:szCs w:val="20"/>
        </w:rPr>
        <w:t>4.1 KPI Performance — Pre-SAP vs Post-SAP (90-Day Results)</w:t>
      </w:r>
    </w:p>
    <w:p w14:paraId="0998FA28">
      <w:pPr>
        <w:spacing w:before="0" w:after="8"/>
      </w:pPr>
    </w:p>
    <w:tbl>
      <w:tblPr>
        <w:tblStyle w:val="9"/>
        <w:tblW w:w="1040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9"/>
        <w:gridCol w:w="1866"/>
        <w:gridCol w:w="2092"/>
        <w:gridCol w:w="1475"/>
        <w:gridCol w:w="2680"/>
      </w:tblGrid>
      <w:tr w14:paraId="62DA6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28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109D80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KPI Metric</w:t>
            </w:r>
          </w:p>
        </w:tc>
        <w:tc>
          <w:tcPr>
            <w:tcW w:w="186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C932A78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Pre-SAP Baseline</w:t>
            </w:r>
          </w:p>
        </w:tc>
        <w:tc>
          <w:tcPr>
            <w:tcW w:w="2092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A5FD2B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Target</w:t>
            </w:r>
          </w:p>
        </w:tc>
        <w:tc>
          <w:tcPr>
            <w:tcW w:w="1475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35A22A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90-Day Result</w:t>
            </w:r>
          </w:p>
        </w:tc>
        <w:tc>
          <w:tcPr>
            <w:tcW w:w="268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17E113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Status</w:t>
            </w:r>
          </w:p>
        </w:tc>
      </w:tr>
      <w:tr w14:paraId="4C965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8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8060FF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PO Cycle Time</w:t>
            </w:r>
          </w:p>
        </w:tc>
        <w:tc>
          <w:tcPr>
            <w:tcW w:w="186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2AEF74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7.1 days</w:t>
            </w:r>
          </w:p>
        </w:tc>
        <w:tc>
          <w:tcPr>
            <w:tcW w:w="2092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FB7BC8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≤ 1.5 days</w:t>
            </w:r>
          </w:p>
        </w:tc>
        <w:tc>
          <w:tcPr>
            <w:tcW w:w="1475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EA894D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0.9 days</w:t>
            </w:r>
          </w:p>
        </w:tc>
        <w:tc>
          <w:tcPr>
            <w:tcW w:w="268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E46EFA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✔ Met</w:t>
            </w:r>
          </w:p>
        </w:tc>
      </w:tr>
      <w:tr w14:paraId="605ED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8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764AD5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Stockout Incidents</w:t>
            </w:r>
          </w:p>
        </w:tc>
        <w:tc>
          <w:tcPr>
            <w:tcW w:w="186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F1537D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4.2 / month</w:t>
            </w:r>
          </w:p>
        </w:tc>
        <w:tc>
          <w:tcPr>
            <w:tcW w:w="2092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C818F9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≤ 0.5 / month</w:t>
            </w:r>
          </w:p>
        </w:tc>
        <w:tc>
          <w:tcPr>
            <w:tcW w:w="1475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9C90179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0.3 / month</w:t>
            </w:r>
          </w:p>
        </w:tc>
        <w:tc>
          <w:tcPr>
            <w:tcW w:w="268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4FA300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✔ Met</w:t>
            </w:r>
          </w:p>
        </w:tc>
      </w:tr>
      <w:tr w14:paraId="0A456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8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3ED056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Invoice Mismatch Rate</w:t>
            </w:r>
          </w:p>
        </w:tc>
        <w:tc>
          <w:tcPr>
            <w:tcW w:w="186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4D600F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11.3%</w:t>
            </w:r>
          </w:p>
        </w:tc>
        <w:tc>
          <w:tcPr>
            <w:tcW w:w="2092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03FBCE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&lt; 1.0%</w:t>
            </w:r>
          </w:p>
        </w:tc>
        <w:tc>
          <w:tcPr>
            <w:tcW w:w="1475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CA6067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0.6%</w:t>
            </w:r>
          </w:p>
        </w:tc>
        <w:tc>
          <w:tcPr>
            <w:tcW w:w="268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D346D9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✔ Met</w:t>
            </w:r>
          </w:p>
        </w:tc>
      </w:tr>
      <w:tr w14:paraId="344A8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8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87FB17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Vendor On-Time Delivery</w:t>
            </w:r>
          </w:p>
        </w:tc>
        <w:tc>
          <w:tcPr>
            <w:tcW w:w="186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825BE48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68.4%</w:t>
            </w:r>
          </w:p>
        </w:tc>
        <w:tc>
          <w:tcPr>
            <w:tcW w:w="2092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9F4180B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≥ 90%</w:t>
            </w:r>
          </w:p>
        </w:tc>
        <w:tc>
          <w:tcPr>
            <w:tcW w:w="1475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EF88E2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91.7%</w:t>
            </w:r>
          </w:p>
        </w:tc>
        <w:tc>
          <w:tcPr>
            <w:tcW w:w="268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219FA1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✔ Met</w:t>
            </w:r>
          </w:p>
        </w:tc>
      </w:tr>
      <w:tr w14:paraId="323EE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8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B2C2776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Procurement Cost Savings</w:t>
            </w:r>
          </w:p>
        </w:tc>
        <w:tc>
          <w:tcPr>
            <w:tcW w:w="186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E49D44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~2.1% (untracked)</w:t>
            </w:r>
          </w:p>
        </w:tc>
        <w:tc>
          <w:tcPr>
            <w:tcW w:w="2092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E42ACD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≥ 5.5%</w:t>
            </w:r>
          </w:p>
        </w:tc>
        <w:tc>
          <w:tcPr>
            <w:tcW w:w="1475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D993CF8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6.3% of spend</w:t>
            </w:r>
          </w:p>
        </w:tc>
        <w:tc>
          <w:tcPr>
            <w:tcW w:w="268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6203F8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✔ Met</w:t>
            </w:r>
          </w:p>
        </w:tc>
      </w:tr>
      <w:tr w14:paraId="54859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8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D1CA08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Payment Processing Delay</w:t>
            </w:r>
          </w:p>
        </w:tc>
        <w:tc>
          <w:tcPr>
            <w:tcW w:w="186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887A50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6.2 days late</w:t>
            </w:r>
          </w:p>
        </w:tc>
        <w:tc>
          <w:tcPr>
            <w:tcW w:w="2092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F6F1279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≤ 0.5 days</w:t>
            </w:r>
          </w:p>
        </w:tc>
        <w:tc>
          <w:tcPr>
            <w:tcW w:w="1475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75EE30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0.3 days</w:t>
            </w:r>
          </w:p>
        </w:tc>
        <w:tc>
          <w:tcPr>
            <w:tcW w:w="268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4C6F72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✔ Met</w:t>
            </w:r>
          </w:p>
        </w:tc>
      </w:tr>
    </w:tbl>
    <w:p w14:paraId="4A7BE6A7">
      <w:pPr>
        <w:spacing w:before="0" w:after="34"/>
      </w:pPr>
    </w:p>
    <w:p w14:paraId="7DCCBDA9">
      <w:pPr>
        <w:pBdr>
          <w:left w:val="single" w:color="C9900A" w:sz="18" w:space="8"/>
        </w:pBdr>
        <w:spacing w:before="55" w:after="28"/>
      </w:pPr>
      <w:r>
        <w:rPr>
          <w:rFonts w:ascii="Arial" w:hAnsi="Arial" w:eastAsia="Arial" w:cs="Arial"/>
          <w:b/>
          <w:bCs/>
          <w:i w:val="0"/>
          <w:iCs w:val="0"/>
          <w:color w:val="0B4F5E"/>
          <w:sz w:val="20"/>
          <w:szCs w:val="20"/>
        </w:rPr>
        <w:t>4.2 Four Unique Analytics Innovations</w:t>
      </w:r>
    </w:p>
    <w:p w14:paraId="209311E4">
      <w:pPr>
        <w:spacing w:before="0" w:after="8"/>
      </w:pPr>
    </w:p>
    <w:tbl>
      <w:tblPr>
        <w:tblStyle w:val="9"/>
        <w:tblW w:w="1039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36"/>
        <w:gridCol w:w="3970"/>
        <w:gridCol w:w="3886"/>
      </w:tblGrid>
      <w:tr w14:paraId="58C71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53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EA5A54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Innovation</w:t>
            </w:r>
          </w:p>
        </w:tc>
        <w:tc>
          <w:tcPr>
            <w:tcW w:w="397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1F0CE0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388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7FADB24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Business Impact</w:t>
            </w:r>
          </w:p>
        </w:tc>
      </w:tr>
      <w:tr w14:paraId="57C97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3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022C0F0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Vendor Risk Composite Index (VRCI)</w:t>
            </w:r>
          </w:p>
        </w:tc>
        <w:tc>
          <w:tcPr>
            <w:tcW w:w="397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68BCCD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0–100 score per vendor: on-time delivery 35%, quality rejection 30%, invoice accuracy 20%, GSTIN compliance 15%. Below 55 auto-triggers review workflow.</w:t>
            </w:r>
          </w:p>
        </w:tc>
        <w:tc>
          <w:tcPr>
            <w:tcW w:w="388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BF5606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Eliminated 3 surprise supply disruptions within 90 days of go-live</w:t>
            </w:r>
          </w:p>
        </w:tc>
      </w:tr>
      <w:tr w14:paraId="352B84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3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DC0F51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Predictive Reorder Engine</w:t>
            </w:r>
          </w:p>
        </w:tc>
        <w:tc>
          <w:tcPr>
            <w:tcW w:w="397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90C339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SAC Smart Predict regression on 18 months of MSEG history. Per-SKU reorder alerts with 14-day buffer — feeds ME51N auto-PR nightly.</w:t>
            </w:r>
          </w:p>
        </w:tc>
        <w:tc>
          <w:tcPr>
            <w:tcW w:w="388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0AD855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Stockout probability cut from 18% to &lt; 2% for critical components</w:t>
            </w:r>
          </w:p>
        </w:tc>
      </w:tr>
      <w:tr w14:paraId="0F0EE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3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A15B431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Automated MIRO Block Resolution</w:t>
            </w:r>
          </w:p>
        </w:tc>
        <w:tc>
          <w:tcPr>
            <w:tcW w:w="397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4D5388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Build Process Automation routes MIRO exception to buyer with pre-filled checklist — clears the chronic 40–60 blocked invoice backlog at month-end.</w:t>
            </w:r>
          </w:p>
        </w:tc>
        <w:tc>
          <w:tcPr>
            <w:tcW w:w="388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AD36E4E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Resolution time: 3.8 hrs → 31 min (↓ 86%)</w:t>
            </w:r>
          </w:p>
        </w:tc>
      </w:tr>
      <w:tr w14:paraId="7B990A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3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BC0416F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Cross-Document Drill-Through</w:t>
            </w:r>
          </w:p>
        </w:tc>
        <w:tc>
          <w:tcPr>
            <w:tcW w:w="397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5BC2C3E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BDC canvas links PR→PO→GR→MIRO→Payment. Any spend anomaly traceable to its originating requisition in under 3 clicks.</w:t>
            </w:r>
          </w:p>
        </w:tc>
        <w:tc>
          <w:tcPr>
            <w:tcW w:w="388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307244E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Month-end spend close: 9–11 days → 2 working days (↓ 78%)</w:t>
            </w:r>
          </w:p>
        </w:tc>
      </w:tr>
    </w:tbl>
    <w:p w14:paraId="42EDA28F">
      <w:r>
        <w:br w:type="page"/>
      </w: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"/>
        <w:gridCol w:w="9306"/>
      </w:tblGrid>
      <w:tr w14:paraId="5AD02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C9900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F12DAC"/>
        </w:tc>
        <w:tc>
          <w:tcPr>
            <w:tcW w:w="9306" w:type="dxa"/>
            <w:tcBorders>
              <w:top w:val="single" w:color="0B4F5E" w:sz="2" w:space="0"/>
              <w:left w:val="nil"/>
              <w:bottom w:val="single" w:color="C9900A" w:sz="8" w:space="0"/>
              <w:right w:val="single" w:color="0B4F5E" w:sz="2" w:space="0"/>
            </w:tcBorders>
            <w:shd w:val="clear" w:color="auto" w:fill="0B4F5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3F89752A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900A"/>
                <w:sz w:val="21"/>
                <w:szCs w:val="21"/>
              </w:rPr>
              <w:t xml:space="preserve">5.  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1"/>
                <w:szCs w:val="21"/>
              </w:rPr>
              <w:t>Unique Points, Future Roadmap &amp; Conclusion</w:t>
            </w:r>
          </w:p>
        </w:tc>
      </w:tr>
    </w:tbl>
    <w:p w14:paraId="69BDBF76">
      <w:pPr>
        <w:spacing w:before="0" w:after="18"/>
      </w:pPr>
    </w:p>
    <w:p w14:paraId="46E23777">
      <w:pPr>
        <w:pBdr>
          <w:left w:val="single" w:color="C9900A" w:sz="18" w:space="8"/>
        </w:pBdr>
        <w:spacing w:before="55" w:after="28"/>
      </w:pPr>
      <w:r>
        <w:rPr>
          <w:rFonts w:ascii="Arial" w:hAnsi="Arial" w:eastAsia="Arial" w:cs="Arial"/>
          <w:b/>
          <w:bCs/>
          <w:i w:val="0"/>
          <w:iCs w:val="0"/>
          <w:color w:val="0B4F5E"/>
          <w:sz w:val="20"/>
          <w:szCs w:val="20"/>
        </w:rPr>
        <w:t>5.1 Differentiators — Standard P2P vs This Project</w:t>
      </w:r>
    </w:p>
    <w:p w14:paraId="108D63D6">
      <w:pPr>
        <w:spacing w:before="0" w:after="8"/>
      </w:pPr>
    </w:p>
    <w:tbl>
      <w:tblPr>
        <w:tblStyle w:val="9"/>
        <w:tblW w:w="1050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9"/>
        <w:gridCol w:w="2866"/>
        <w:gridCol w:w="5670"/>
      </w:tblGrid>
      <w:tr w14:paraId="5E613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96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E45E78C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Dimension</w:t>
            </w:r>
          </w:p>
        </w:tc>
        <w:tc>
          <w:tcPr>
            <w:tcW w:w="286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54B0537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Standard P2P Project</w:t>
            </w:r>
          </w:p>
        </w:tc>
        <w:tc>
          <w:tcPr>
            <w:tcW w:w="567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0B4F5E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17B037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18"/>
                <w:szCs w:val="18"/>
              </w:rPr>
              <w:t>This Project</w:t>
            </w:r>
          </w:p>
        </w:tc>
      </w:tr>
      <w:tr w14:paraId="1A7134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DF032D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Business Context</w:t>
            </w:r>
          </w:p>
        </w:tc>
        <w:tc>
          <w:tcPr>
            <w:tcW w:w="286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38FE8BF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Generic placeholder data</w:t>
            </w:r>
          </w:p>
        </w:tc>
        <w:tc>
          <w:tcPr>
            <w:tcW w:w="567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95DE8AE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Real manufacturer — TechNova Electronics, Bhubaneswar</w:t>
            </w:r>
          </w:p>
        </w:tc>
      </w:tr>
      <w:tr w14:paraId="2469A5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8961DBD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Analytics Depth</w:t>
            </w:r>
          </w:p>
        </w:tc>
        <w:tc>
          <w:tcPr>
            <w:tcW w:w="286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AC7A32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Stops at MIRO posting</w:t>
            </w:r>
          </w:p>
        </w:tc>
        <w:tc>
          <w:tcPr>
            <w:tcW w:w="567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3CCBC72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5 BDC dashboards + SAC predictive reorder engine</w:t>
            </w:r>
          </w:p>
        </w:tc>
      </w:tr>
      <w:tr w14:paraId="6E05D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18F2536E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GST Handling</w:t>
            </w:r>
          </w:p>
        </w:tc>
        <w:tc>
          <w:tcPr>
            <w:tcW w:w="286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49D407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Single NAVS tax code</w:t>
            </w:r>
          </w:p>
        </w:tc>
        <w:tc>
          <w:tcPr>
            <w:tcW w:w="567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6B3796B8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IGST/CGST/SGST + ITC tracking + e-Invoice IRN</w:t>
            </w:r>
          </w:p>
        </w:tc>
      </w:tr>
      <w:tr w14:paraId="7D51F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DC26AD3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Vendor Management</w:t>
            </w:r>
          </w:p>
        </w:tc>
        <w:tc>
          <w:tcPr>
            <w:tcW w:w="286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92A5623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Basic LFA1 master only</w:t>
            </w:r>
          </w:p>
        </w:tc>
        <w:tc>
          <w:tcPr>
            <w:tcW w:w="567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FBD316A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VRCI scoring + risk bands + automated review workflow</w:t>
            </w:r>
          </w:p>
        </w:tc>
      </w:tr>
      <w:tr w14:paraId="0ADD0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23B040A4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KPI Framework</w:t>
            </w:r>
          </w:p>
        </w:tc>
        <w:tc>
          <w:tcPr>
            <w:tcW w:w="286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02554D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Qualitative observation</w:t>
            </w:r>
          </w:p>
        </w:tc>
        <w:tc>
          <w:tcPr>
            <w:tcW w:w="567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94D189D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6 KPIs — baseline, target, 90-day result fully tracked</w:t>
            </w:r>
          </w:p>
        </w:tc>
      </w:tr>
      <w:tr w14:paraId="04D27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B246452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Unique Analytics</w:t>
            </w:r>
          </w:p>
        </w:tc>
        <w:tc>
          <w:tcPr>
            <w:tcW w:w="286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717B80F5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None</w:t>
            </w:r>
          </w:p>
        </w:tc>
        <w:tc>
          <w:tcPr>
            <w:tcW w:w="567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E8F4F6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523344D1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VRCI + Predictive Reorder + Cross-Doc Drill-Through</w:t>
            </w:r>
          </w:p>
        </w:tc>
      </w:tr>
      <w:tr w14:paraId="7F7B64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69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03EF38A8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Financial Depth</w:t>
            </w:r>
          </w:p>
        </w:tc>
        <w:tc>
          <w:tcPr>
            <w:tcW w:w="2866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308935F9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PO value only</w:t>
            </w:r>
          </w:p>
        </w:tc>
        <w:tc>
          <w:tcPr>
            <w:tcW w:w="5670" w:type="dxa"/>
            <w:tcBorders>
              <w:top w:val="single" w:color="8ABDC6" w:sz="4" w:space="0"/>
              <w:left w:val="single" w:color="8ABDC6" w:sz="4" w:space="0"/>
              <w:bottom w:val="single" w:color="8ABDC6" w:sz="4" w:space="0"/>
              <w:right w:val="single" w:color="8ABDC6" w:sz="4" w:space="0"/>
            </w:tcBorders>
            <w:shd w:val="clear" w:color="auto" w:fill="FFFFFF"/>
            <w:tcMar>
              <w:top w:w="58" w:type="dxa"/>
              <w:left w:w="100" w:type="dxa"/>
              <w:bottom w:w="58" w:type="dxa"/>
              <w:right w:w="100" w:type="dxa"/>
            </w:tcMar>
            <w:vAlign w:val="center"/>
          </w:tcPr>
          <w:p w14:paraId="460C8510">
            <w:pPr>
              <w:spacing w:before="0" w:after="0"/>
              <w:jc w:val="center"/>
            </w:pPr>
            <w:r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D3748"/>
                <w:sz w:val="17"/>
                <w:szCs w:val="17"/>
              </w:rPr>
              <w:t>Price variance + IGST credit + SKTO discount tracked</w:t>
            </w:r>
          </w:p>
        </w:tc>
      </w:tr>
    </w:tbl>
    <w:p w14:paraId="2C700FF8">
      <w:pPr>
        <w:spacing w:before="0" w:after="34"/>
      </w:pPr>
    </w:p>
    <w:p w14:paraId="04ECD5C9">
      <w:pPr>
        <w:pBdr>
          <w:left w:val="single" w:color="C9900A" w:sz="18" w:space="8"/>
        </w:pBdr>
        <w:spacing w:before="55" w:after="28"/>
      </w:pPr>
      <w:r>
        <w:rPr>
          <w:rFonts w:ascii="Arial" w:hAnsi="Arial" w:eastAsia="Arial" w:cs="Arial"/>
          <w:b/>
          <w:bCs/>
          <w:i w:val="0"/>
          <w:iCs w:val="0"/>
          <w:color w:val="0B4F5E"/>
          <w:sz w:val="20"/>
          <w:szCs w:val="20"/>
        </w:rPr>
        <w:t>5.2 Future Roadmap — Phase 2 (FY 2026-27)</w:t>
      </w:r>
    </w:p>
    <w:p w14:paraId="6644508C">
      <w:pPr>
        <w:spacing w:before="0" w:after="10"/>
      </w:pPr>
    </w:p>
    <w:p w14:paraId="21DF10BD">
      <w:pPr>
        <w:pStyle w:val="16"/>
        <w:numPr>
          <w:ilvl w:val="0"/>
          <w:numId w:val="1"/>
        </w:numPr>
        <w:spacing w:before="22" w:after="22" w:line="244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2D3748"/>
          <w:sz w:val="18"/>
          <w:szCs w:val="18"/>
        </w:rPr>
        <w:t>AI Vendor Scoring (SAP Ariba + ML): Continuous evaluation of vendor financial health, ESG, and delivery data — targeting 40% reduction in single-source dependency risk.</w:t>
      </w:r>
    </w:p>
    <w:p w14:paraId="24F10165">
      <w:pPr>
        <w:pStyle w:val="16"/>
        <w:numPr>
          <w:ilvl w:val="0"/>
          <w:numId w:val="1"/>
        </w:numPr>
        <w:spacing w:before="22" w:after="22" w:line="244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2D3748"/>
          <w:sz w:val="18"/>
          <w:szCs w:val="18"/>
        </w:rPr>
        <w:t>Predictive Demand Procurement (SAP IBP): 13-week rolling demand signals feeding auto-PO creation via ME59N — target 70% of routine replenishment processed straight-through.</w:t>
      </w:r>
    </w:p>
    <w:p w14:paraId="12AE9C54">
      <w:pPr>
        <w:pStyle w:val="16"/>
        <w:numPr>
          <w:ilvl w:val="0"/>
          <w:numId w:val="1"/>
        </w:numPr>
        <w:spacing w:before="22" w:after="22" w:line="244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2D3748"/>
          <w:sz w:val="18"/>
          <w:szCs w:val="18"/>
        </w:rPr>
        <w:t>SAP Joule Conversational AI: Natural-language queries ('Show POs pending GR &gt; 5 days') eliminating GUI navigation — estimated 30% reduction in buyer overhead.</w:t>
      </w:r>
    </w:p>
    <w:p w14:paraId="493B6C5E">
      <w:pPr>
        <w:pStyle w:val="16"/>
        <w:numPr>
          <w:ilvl w:val="0"/>
          <w:numId w:val="1"/>
        </w:numPr>
        <w:spacing w:before="22" w:after="22" w:line="244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2D3748"/>
          <w:sz w:val="18"/>
          <w:szCs w:val="18"/>
        </w:rPr>
        <w:t>Auto GSTR-2B Reconciliation: SAP GST + GSTN API auto-match — targeting full recovery of INR 6.8 lakh ITC forfeited in FY 2024-25.</w:t>
      </w:r>
    </w:p>
    <w:p w14:paraId="0936B0D8">
      <w:pPr>
        <w:pStyle w:val="16"/>
        <w:numPr>
          <w:ilvl w:val="0"/>
          <w:numId w:val="1"/>
        </w:numPr>
        <w:spacing w:before="22" w:after="22" w:line="244" w:lineRule="auto"/>
      </w:pPr>
      <w:r>
        <w:rPr>
          <w:rFonts w:ascii="Arial" w:hAnsi="Arial" w:eastAsia="Arial" w:cs="Arial"/>
          <w:b w:val="0"/>
          <w:bCs w:val="0"/>
          <w:i w:val="0"/>
          <w:iCs w:val="0"/>
          <w:color w:val="2D3748"/>
          <w:sz w:val="18"/>
          <w:szCs w:val="18"/>
        </w:rPr>
        <w:t>Supplier Self-Service Portal (SAP Business Network): Vendors submit invoices digitally, track GR status — expected 45% further reduction in invoice processing time.</w:t>
      </w:r>
    </w:p>
    <w:p w14:paraId="68D0C272">
      <w:pPr>
        <w:spacing w:before="0" w:after="30"/>
      </w:pPr>
    </w:p>
    <w:tbl>
      <w:tblPr>
        <w:tblStyle w:val="9"/>
        <w:tblW w:w="95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"/>
        <w:gridCol w:w="9306"/>
      </w:tblGrid>
      <w:tr w14:paraId="59C24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" w:type="dxa"/>
            <w:tcBorders>
              <w:top w:val="nil"/>
              <w:left w:val="nil"/>
              <w:bottom w:val="nil"/>
              <w:right w:val="nil"/>
            </w:tcBorders>
            <w:shd w:val="clear" w:color="auto" w:fill="C9900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193F05"/>
        </w:tc>
        <w:tc>
          <w:tcPr>
            <w:tcW w:w="9306" w:type="dxa"/>
            <w:tcBorders>
              <w:top w:val="single" w:color="0B4F5E" w:sz="2" w:space="0"/>
              <w:left w:val="nil"/>
              <w:bottom w:val="single" w:color="C9900A" w:sz="8" w:space="0"/>
              <w:right w:val="single" w:color="0B4F5E" w:sz="2" w:space="0"/>
            </w:tcBorders>
            <w:shd w:val="clear" w:color="auto" w:fill="0B4F5E"/>
            <w:tcMar>
              <w:top w:w="90" w:type="dxa"/>
              <w:left w:w="180" w:type="dxa"/>
              <w:bottom w:w="90" w:type="dxa"/>
              <w:right w:w="180" w:type="dxa"/>
            </w:tcMar>
          </w:tcPr>
          <w:p w14:paraId="4589A5EC">
            <w:pPr>
              <w:spacing w:before="0" w:after="0"/>
              <w:jc w:val="left"/>
            </w:pP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C9900A"/>
                <w:sz w:val="21"/>
                <w:szCs w:val="21"/>
              </w:rPr>
              <w:t xml:space="preserve">6.  </w:t>
            </w:r>
            <w:r>
              <w:rPr>
                <w:rFonts w:ascii="Arial" w:hAnsi="Arial" w:eastAsia="Arial" w:cs="Arial"/>
                <w:b/>
                <w:bCs/>
                <w:i w:val="0"/>
                <w:iCs w:val="0"/>
                <w:color w:val="FFFFFF"/>
                <w:sz w:val="21"/>
                <w:szCs w:val="21"/>
              </w:rPr>
              <w:t>Conclusion</w:t>
            </w:r>
          </w:p>
        </w:tc>
      </w:tr>
    </w:tbl>
    <w:p w14:paraId="53EF8FEA">
      <w:pPr>
        <w:spacing w:before="0" w:after="14"/>
      </w:pPr>
    </w:p>
    <w:p w14:paraId="19A93800">
      <w:pPr>
        <w:spacing w:before="10" w:after="18" w:line="254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2D3748"/>
          <w:sz w:val="19"/>
          <w:szCs w:val="19"/>
        </w:rPr>
        <w:t>The Procure-to-Pay cycle is the financial backbone of every manufacturing enterprise — governing input cost discipline, supplier relationships, working capital efficiency, and GST compliance integrity. This project demonstrates, step by measurable step, how SAP MM transforms a fragmented, error-prone procurement function into a tightly governed, self-auditing supply chain engine.</w:t>
      </w:r>
    </w:p>
    <w:p w14:paraId="69398885">
      <w:pPr>
        <w:spacing w:before="10" w:after="26" w:line="254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2D3748"/>
          <w:sz w:val="19"/>
          <w:szCs w:val="19"/>
        </w:rPr>
        <w:t>For TechNova Electronics Pvt Ltd, the implementation delivered outcomes far beyond system adoption: PO cycle time compressed from 7.1 days to 0.9 days; invoice mismatch rate fell from 11.3% to 0.6%; stockout incidents dropped from 4.2 to 0.3 per month; and the organisation achieved a documented 6.3% reduction in procurement spend within 90 days — over INR 4 crore in annualised savings. Layering SAP Business Data Cloud over the transactional backbone closes the final intelligence gap: the CPO and CFO now operate from a live, drill-through procurement dashboard instead of 9-day-old spreadsheets. The four unique capabilities — VRCI, predictive reorder engine, automated MIRO block resolution, and cross-document drill-through — collectively elevate this project from a standard ERP configuration exercise to a genuine, data-driven business transformation case study, fully aligned to the Introducing SAP Business Data Cloud certification track.</w:t>
      </w:r>
    </w:p>
    <w:p w14:paraId="61A89AF3">
      <w:pPr>
        <w:pBdr>
          <w:bottom w:val="single" w:color="1A7A8A" w:sz="6" w:space="1"/>
        </w:pBdr>
        <w:spacing w:before="30" w:after="30"/>
      </w:pPr>
    </w:p>
    <w:p w14:paraId="4D60ECCD">
      <w:pPr>
        <w:spacing w:before="0" w:after="14"/>
      </w:pPr>
    </w:p>
    <w:p w14:paraId="2B3E01B2">
      <w:pPr>
        <w:spacing w:before="0" w:after="10"/>
      </w:pPr>
      <w:r>
        <w:rPr>
          <w:rFonts w:ascii="Arial" w:hAnsi="Arial" w:eastAsia="Arial" w:cs="Arial"/>
          <w:b/>
          <w:bCs/>
          <w:i w:val="0"/>
          <w:iCs w:val="0"/>
          <w:color w:val="0B4F5E"/>
          <w:sz w:val="20"/>
          <w:szCs w:val="20"/>
        </w:rPr>
        <w:t>References</w:t>
      </w:r>
    </w:p>
    <w:p w14:paraId="17ED6B7E">
      <w:pPr>
        <w:spacing w:before="8" w:after="12" w:line="254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2D3748"/>
          <w:sz w:val="18"/>
          <w:szCs w:val="18"/>
        </w:rPr>
        <w:t>1.  SAP SE. SAP MM (Materials Management) Official Documentation. help.sap.com/docs/SAP_S4HANA</w:t>
      </w:r>
    </w:p>
    <w:p w14:paraId="5BCC4600">
      <w:pPr>
        <w:spacing w:before="0" w:after="12" w:line="254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2D3748"/>
          <w:sz w:val="18"/>
          <w:szCs w:val="18"/>
        </w:rPr>
        <w:t>2.  SAP SE. SAP Business Data Cloud — Product Overview &amp; Architecture. sap.com/products/business-data-cloud</w:t>
      </w:r>
    </w:p>
    <w:p w14:paraId="5B8CCF9F">
      <w:pPr>
        <w:spacing w:before="0" w:after="12" w:line="254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2D3748"/>
          <w:sz w:val="18"/>
          <w:szCs w:val="18"/>
        </w:rPr>
        <w:t>3.  SAP Learning Hub. Introducing SAP Business Data Cloud. KIIT SAP Training Programme, 2026.</w:t>
      </w:r>
    </w:p>
    <w:p w14:paraId="0ED845B4">
      <w:pPr>
        <w:spacing w:before="0" w:after="12" w:line="254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2D3748"/>
          <w:sz w:val="18"/>
          <w:szCs w:val="18"/>
        </w:rPr>
        <w:t>4.  SAP SE. Purchasing &amp; Invoice Verification in SAP S/4HANA. SAP Help Portal, 2024.</w:t>
      </w:r>
    </w:p>
    <w:p w14:paraId="67440900">
      <w:pPr>
        <w:spacing w:before="0" w:after="12" w:line="254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2D3748"/>
          <w:sz w:val="18"/>
          <w:szCs w:val="18"/>
        </w:rPr>
        <w:t>5.  KIIT SAP Project Guidance Document — Shared by Course Trainer, April 2026.</w:t>
      </w:r>
    </w:p>
    <w:p w14:paraId="56E06CCB">
      <w:pPr>
        <w:spacing w:before="0" w:after="12" w:line="254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2D3748"/>
          <w:sz w:val="18"/>
          <w:szCs w:val="18"/>
        </w:rPr>
        <w:t>6.  GST India Official Portal. ITC, GSTR-2B Reconciliation &amp; HSN Classification. gst.gov.in</w:t>
      </w:r>
    </w:p>
    <w:p w14:paraId="05F5DB44">
      <w:pPr>
        <w:spacing w:before="0" w:after="8" w:line="254" w:lineRule="auto"/>
        <w:jc w:val="both"/>
      </w:pPr>
      <w:r>
        <w:rPr>
          <w:rFonts w:ascii="Arial" w:hAnsi="Arial" w:eastAsia="Arial" w:cs="Arial"/>
          <w:b w:val="0"/>
          <w:bCs w:val="0"/>
          <w:i w:val="0"/>
          <w:iCs w:val="0"/>
          <w:color w:val="2D3748"/>
          <w:sz w:val="18"/>
          <w:szCs w:val="18"/>
        </w:rPr>
        <w:t>7.  Lysons, K. &amp; Farrington, B. Procurement and Supply Chain Management. 9th ed. Pe</w:t>
      </w:r>
      <w:bookmarkStart w:id="0" w:name="_GoBack"/>
      <w:bookmarkEnd w:id="0"/>
      <w:r>
        <w:rPr>
          <w:rFonts w:ascii="Arial" w:hAnsi="Arial" w:eastAsia="Arial" w:cs="Arial"/>
          <w:b w:val="0"/>
          <w:bCs w:val="0"/>
          <w:i w:val="0"/>
          <w:iCs w:val="0"/>
          <w:color w:val="2D3748"/>
          <w:sz w:val="18"/>
          <w:szCs w:val="18"/>
        </w:rPr>
        <w:t>arson, 2020.</w:t>
      </w:r>
    </w:p>
    <w:sectPr>
      <w:headerReference r:id="rId3" w:type="default"/>
      <w:footerReference r:id="rId4" w:type="default"/>
      <w:pgSz w:w="11906" w:h="16838"/>
      <w:pgMar w:top="680" w:right="800" w:bottom="680" w:left="8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F6D747">
    <w:pPr>
      <w:pBdr>
        <w:top w:val="single" w:color="1A7A8A" w:sz="8" w:space="4"/>
      </w:pBdr>
      <w:tabs>
        <w:tab w:val="right" w:pos="9026"/>
      </w:tabs>
      <w:spacing w:before="40" w:after="0"/>
    </w:pPr>
    <w:r>
      <w:rPr>
        <w:rFonts w:ascii="Arial" w:hAnsi="Arial" w:eastAsia="Arial" w:cs="Arial"/>
        <w:b w:val="0"/>
        <w:bCs w:val="0"/>
        <w:i w:val="0"/>
        <w:iCs w:val="0"/>
        <w:color w:val="1A7A8A"/>
        <w:sz w:val="15"/>
        <w:szCs w:val="15"/>
      </w:rPr>
      <w:t>SAP MM + SAP FI + SAP Business Data Cloud  |  B.Tech CSE  |  KIIT University, Bhubaneswar — 751024</w:t>
    </w:r>
    <w:r>
      <w:rPr>
        <w:rFonts w:ascii="Arial" w:hAnsi="Arial" w:eastAsia="Arial" w:cs="Arial"/>
        <w:b w:val="0"/>
        <w:bCs w:val="0"/>
        <w:i w:val="0"/>
        <w:iCs w:val="0"/>
        <w:color w:val="2D3748"/>
        <w:sz w:val="15"/>
        <w:szCs w:val="15"/>
      </w:rPr>
      <w:tab/>
    </w:r>
    <w:r>
      <w:rPr>
        <w:rFonts w:ascii="Arial" w:hAnsi="Arial" w:eastAsia="Arial" w:cs="Arial"/>
        <w:b/>
        <w:bCs/>
        <w:i w:val="0"/>
        <w:iCs w:val="0"/>
        <w:color w:val="0B4F5E"/>
        <w:sz w:val="15"/>
        <w:szCs w:val="15"/>
      </w:rPr>
      <w:t xml:space="preserve">Page </w:t>
    </w:r>
    <w:r>
      <w:rPr>
        <w:rFonts w:ascii="Arial" w:hAnsi="Arial" w:eastAsia="Arial" w:cs="Arial"/>
        <w:b/>
        <w:bCs/>
        <w:color w:val="0B4F5E"/>
        <w:sz w:val="15"/>
        <w:szCs w:val="15"/>
      </w:rPr>
      <w:fldChar w:fldCharType="begin"/>
    </w:r>
    <w:r>
      <w:rPr>
        <w:rFonts w:ascii="Arial" w:hAnsi="Arial" w:eastAsia="Arial" w:cs="Arial"/>
        <w:b/>
        <w:bCs/>
        <w:color w:val="0B4F5E"/>
        <w:sz w:val="15"/>
        <w:szCs w:val="15"/>
      </w:rPr>
      <w:instrText xml:space="preserve">PAGE</w:instrText>
    </w:r>
    <w:r>
      <w:rPr>
        <w:rFonts w:ascii="Arial" w:hAnsi="Arial" w:eastAsia="Arial" w:cs="Arial"/>
        <w:b/>
        <w:bCs/>
        <w:color w:val="0B4F5E"/>
        <w:sz w:val="15"/>
        <w:szCs w:val="15"/>
      </w:rPr>
      <w:fldChar w:fldCharType="separate"/>
    </w:r>
    <w:r>
      <w:rPr>
        <w:rFonts w:ascii="Arial" w:hAnsi="Arial" w:eastAsia="Arial" w:cs="Arial"/>
        <w:b/>
        <w:bCs/>
        <w:color w:val="0B4F5E"/>
        <w:sz w:val="15"/>
        <w:szCs w:val="15"/>
      </w:rPr>
      <w:fldChar w:fldCharType="end"/>
    </w:r>
    <w:r>
      <w:rPr>
        <w:rFonts w:ascii="Arial" w:hAnsi="Arial" w:eastAsia="Arial" w:cs="Arial"/>
        <w:b w:val="0"/>
        <w:bCs w:val="0"/>
        <w:i w:val="0"/>
        <w:iCs w:val="0"/>
        <w:color w:val="0B4F5E"/>
        <w:sz w:val="15"/>
        <w:szCs w:val="15"/>
      </w:rPr>
      <w:t xml:space="preserve"> of </w:t>
    </w:r>
    <w:r>
      <w:rPr>
        <w:rFonts w:ascii="Arial" w:hAnsi="Arial" w:eastAsia="Arial" w:cs="Arial"/>
        <w:b/>
        <w:bCs/>
        <w:color w:val="0B4F5E"/>
        <w:sz w:val="15"/>
        <w:szCs w:val="15"/>
      </w:rPr>
      <w:fldChar w:fldCharType="begin"/>
    </w:r>
    <w:r>
      <w:rPr>
        <w:rFonts w:ascii="Arial" w:hAnsi="Arial" w:eastAsia="Arial" w:cs="Arial"/>
        <w:b/>
        <w:bCs/>
        <w:color w:val="0B4F5E"/>
        <w:sz w:val="15"/>
        <w:szCs w:val="15"/>
      </w:rPr>
      <w:instrText xml:space="preserve">NUMPAGES</w:instrText>
    </w:r>
    <w:r>
      <w:rPr>
        <w:rFonts w:ascii="Arial" w:hAnsi="Arial" w:eastAsia="Arial" w:cs="Arial"/>
        <w:b/>
        <w:bCs/>
        <w:color w:val="0B4F5E"/>
        <w:sz w:val="15"/>
        <w:szCs w:val="15"/>
      </w:rPr>
      <w:fldChar w:fldCharType="separate"/>
    </w:r>
    <w:r>
      <w:rPr>
        <w:rFonts w:ascii="Arial" w:hAnsi="Arial" w:eastAsia="Arial" w:cs="Arial"/>
        <w:b/>
        <w:bCs/>
        <w:color w:val="0B4F5E"/>
        <w:sz w:val="15"/>
        <w:szCs w:val="15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EC5196">
    <w:pPr>
      <w:pBdr>
        <w:bottom w:val="single" w:color="C9900A" w:sz="12" w:space="4"/>
      </w:pBdr>
      <w:tabs>
        <w:tab w:val="right" w:pos="9026"/>
      </w:tabs>
      <w:spacing w:before="0" w:after="40"/>
    </w:pPr>
    <w:r>
      <w:rPr>
        <w:rFonts w:ascii="Arial" w:hAnsi="Arial" w:eastAsia="Arial" w:cs="Arial"/>
        <w:b w:val="0"/>
        <w:bCs w:val="0"/>
        <w:i w:val="0"/>
        <w:iCs w:val="0"/>
        <w:color w:val="1A7A8A"/>
        <w:sz w:val="16"/>
        <w:szCs w:val="16"/>
      </w:rPr>
      <w:t>KIIT University  |  SAP Capstone  |  Procure-to-Pay (P2P) — SAP MM</w:t>
    </w:r>
    <w:r>
      <w:rPr>
        <w:rFonts w:ascii="Arial" w:hAnsi="Arial" w:eastAsia="Arial" w:cs="Arial"/>
        <w:b w:val="0"/>
        <w:bCs w:val="0"/>
        <w:i w:val="0"/>
        <w:iCs w:val="0"/>
        <w:color w:val="2D3748"/>
        <w:sz w:val="16"/>
        <w:szCs w:val="16"/>
      </w:rPr>
      <w:tab/>
    </w:r>
    <w:r>
      <w:rPr>
        <w:rFonts w:ascii="Arial" w:hAnsi="Arial" w:eastAsia="Arial" w:cs="Arial"/>
        <w:b/>
        <w:bCs/>
        <w:i w:val="0"/>
        <w:iCs w:val="0"/>
        <w:color w:val="0B4F5E"/>
        <w:sz w:val="16"/>
        <w:szCs w:val="16"/>
      </w:rPr>
      <w:t>Rishav Kumar Shrivastava  |  Roll No. 2305151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▶"/>
      <w:lvlJc w:val="left"/>
      <w:pPr>
        <w:ind w:left="480" w:hanging="24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68769C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2D3748"/>
      <w:sz w:val="19"/>
      <w:szCs w:val="19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19"/>
      <w:szCs w:val="19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19"/>
      <w:szCs w:val="19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19"/>
      <w:szCs w:val="19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2D3748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Arial" w:hAnsi="Arial" w:eastAsia="Arial" w:cs="Arial"/>
      <w:color w:val="2D3748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color w:val="2D3748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color w:val="2D3748"/>
      <w:sz w:val="19"/>
      <w:szCs w:val="19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8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2026-04-18T07:34:00Z</dcterms:created>
  <dc:creator>Un-named</dc:creator>
  <cp:lastModifiedBy>RISHAV KUMAR SHRIVASTAVA</cp:lastModifiedBy>
  <dcterms:modified xsi:type="dcterms:W3CDTF">2026-04-18T08:11:16Z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2B4015C4E03C414A87D5419D390C3EB7_12</vt:lpwstr>
  </property>
</Properties>
</file>