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b6654ccfd37c4e8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3000"/>
      </w:pPr>
      <w:r/>
    </w:p>
    <w:p>
      <w:pPr>
        <w:spacing w:after="200"/>
        <w:jc w:val="center"/>
      </w:pPr>
      <w:r>
        <w:rPr>
          <w:b/>
          <w:color w:val="1A237E"/>
          <w:sz w:val="72"/>
        </w:rPr>
        <w:t>Q1 JOURNALS</w:t>
      </w:r>
    </w:p>
    <w:p>
      <w:pPr>
        <w:spacing w:after="600"/>
        <w:jc w:val="center"/>
      </w:pPr>
      <w:r>
        <w:rPr>
          <w:color w:val="1565C0"/>
          <w:sz w:val="36"/>
        </w:rPr>
        <w:t>The Complete Researcher's Guide</w:t>
      </w:r>
    </w:p>
    <w:p>
      <w:pPr>
        <w:spacing w:after="600"/>
        <w:jc w:val="center"/>
      </w:pPr>
      <w:r>
        <w:rPr>
          <w:color w:val="00695C"/>
        </w:rPr>
        <w:t>________________________________________</w:t>
      </w:r>
    </w:p>
    <w:p>
      <w:pPr>
        <w:spacing w:after="400"/>
        <w:jc w:val="center"/>
      </w:pPr>
      <w:r>
        <w:rPr>
          <w:color w:val="424242"/>
          <w:sz w:val="24"/>
        </w:rPr>
        <w:t>Understanding Journal Rankings, Peer Review, and Publication Strategies</w:t>
      </w:r>
    </w:p>
    <w:p>
      <w:pPr>
        <w:spacing w:after="2000"/>
        <w:jc w:val="center"/>
      </w:pPr>
      <w:r>
        <w:rPr>
          <w:color w:val="424242"/>
          <w:sz w:val="22"/>
        </w:rPr>
        <w:t>For New and Experienced Researchers Alike</w:t>
      </w:r>
    </w:p>
    <w:p>
      <w:pPr>
        <w:spacing w:after="80"/>
        <w:jc w:val="center"/>
      </w:pPr>
      <w:r>
        <w:rPr>
          <w:color w:val="757575"/>
          <w:sz w:val="20"/>
        </w:rPr>
        <w:t>• What Q1 Journals Are and Why They Matter</w:t>
      </w:r>
    </w:p>
    <w:p>
      <w:pPr>
        <w:spacing w:after="80"/>
        <w:jc w:val="center"/>
      </w:pPr>
      <w:r>
        <w:rPr>
          <w:color w:val="757575"/>
          <w:sz w:val="20"/>
        </w:rPr>
        <w:t>• Journal Rankings and Impact Metrics Explained</w:t>
      </w:r>
    </w:p>
    <w:p>
      <w:pPr>
        <w:spacing w:after="80"/>
        <w:jc w:val="center"/>
      </w:pPr>
      <w:r>
        <w:rPr>
          <w:color w:val="757575"/>
          <w:sz w:val="20"/>
        </w:rPr>
        <w:t>• Prominent Q1 Journals Across All Fields</w:t>
      </w:r>
    </w:p>
    <w:p>
      <w:pPr>
        <w:spacing w:after="80"/>
        <w:jc w:val="center"/>
      </w:pPr>
      <w:r>
        <w:rPr>
          <w:color w:val="757575"/>
          <w:sz w:val="20"/>
        </w:rPr>
        <w:t>• The Peer Review Process Step-by-Step</w:t>
      </w:r>
    </w:p>
    <w:p>
      <w:pPr>
        <w:spacing w:after="80"/>
        <w:jc w:val="center"/>
      </w:pPr>
      <w:r>
        <w:rPr>
          <w:color w:val="757575"/>
          <w:sz w:val="20"/>
        </w:rPr>
        <w:t>• What Reviewers Look For in Your Paper</w:t>
      </w:r>
    </w:p>
    <w:p>
      <w:pPr>
        <w:spacing w:after="80"/>
        <w:jc w:val="center"/>
      </w:pPr>
      <w:r>
        <w:rPr>
          <w:color w:val="757575"/>
          <w:sz w:val="20"/>
        </w:rPr>
        <w:t>• Proven Strategies for Publication Success</w:t>
      </w:r>
    </w:p>
    <w:p>
      <w:pPr>
        <w:spacing w:after="80"/>
        <w:jc w:val="center"/>
      </w:pPr>
      <w:r>
        <w:rPr>
          <w:color w:val="757575"/>
          <w:sz w:val="20"/>
        </w:rPr>
        <w:t>• Common Mistakes and How to Avoid Them</w:t>
      </w:r>
    </w:p>
    <w:p>
      <w:pPr>
        <w:spacing w:before="1500"/>
      </w:pPr>
      <w:r/>
    </w:p>
    <w:p>
      <w:pPr>
        <w:jc w:val="center"/>
      </w:pPr>
      <w:r>
        <w:rPr>
          <w:color w:val="757575"/>
          <w:sz w:val="20"/>
        </w:rPr>
        <w:t>2025 Edition</w:t>
      </w:r>
    </w:p>
    <w:p>
      <w:pPr>
        <w:sectPr>
          <w:type w:val="nextPage"/>
          <w:pgSz w:w="11906" w:h="16838"/>
          <w:pgMar w:top="1440" w:right="1440" w:bottom="1440" w:left="1440" w:header="720" w:footer="720"/>
        </w:sectPr>
      </w:pPr>
    </w:p>
    <w:p>
      <w:pPr>
        <w:spacing w:after="400"/>
        <w:jc w:val="center"/>
      </w:pPr>
      <w:r>
        <w:rPr>
          <w:b/>
          <w:color w:val="1A237E"/>
          <w:sz w:val="40"/>
        </w:rPr>
        <w:t>TABLE OF CONTENTS</w:t>
      </w:r>
    </w:p>
    <w:p>
      <w:pPr>
        <w:spacing w:after="300"/>
      </w:pPr>
      <w:r>
        <w:rPr>
          <w:color w:val="757575"/>
          <w:sz w:val="18"/>
        </w:rPr>
        <w:t>(Right-click and select "Update Field" to refresh page numbers)</w:t>
      </w:r>
    </w:p>
    <w:p>
      <w:r>
        <w:fldChar w:fldCharType="begin"/>
      </w:r>
      <w:r>
        <w:instrText xml:space="preserve"> TOC \o "1-3" \h \z \u </w:instrText>
      </w:r>
      <w:r>
        <w:fldChar w:fldCharType="separate"/>
      </w:r>
    </w:p>
    <w:p>
      <w:pPr>
        <w:pStyle w:val="TOC1"/>
      </w:pPr>
      <w:r>
        <w:t>Chapter 1: Understanding Q1 Journals</w:t>
      </w:r>
      <w:r>
        <w:tab/>
      </w:r>
      <w:r>
        <w:t>3</w:t>
      </w:r>
    </w:p>
    <w:p>
      <w:pPr>
        <w:pStyle w:val="TOC2"/>
      </w:pPr>
      <w:r>
        <w:t>1.1 What Are Journal Quartiles?</w:t>
      </w:r>
      <w:r>
        <w:tab/>
      </w:r>
      <w:r>
        <w:t>3</w:t>
      </w:r>
    </w:p>
    <w:p>
      <w:pPr>
        <w:pStyle w:val="TOC2"/>
      </w:pPr>
      <w:r>
        <w:t>1.2 Why Q1 Journals Matter</w:t>
      </w:r>
      <w:r>
        <w:tab/>
      </w:r>
      <w:r>
        <w:t>4</w:t>
      </w:r>
    </w:p>
    <w:p>
      <w:pPr>
        <w:pStyle w:val="TOC1"/>
      </w:pPr>
      <w:r>
        <w:t>Chapter 2: Journal Rankings and Metrics</w:t>
      </w:r>
      <w:r>
        <w:tab/>
      </w:r>
      <w:r>
        <w:t>6</w:t>
      </w:r>
    </w:p>
    <w:p>
      <w:pPr>
        <w:pStyle w:val="TOC2"/>
      </w:pPr>
      <w:r>
        <w:t>2.1 Impact Factor (IF)</w:t>
      </w:r>
      <w:r>
        <w:tab/>
      </w:r>
      <w:r>
        <w:t>6</w:t>
      </w:r>
    </w:p>
    <w:p>
      <w:pPr>
        <w:pStyle w:val="TOC2"/>
      </w:pPr>
      <w:r>
        <w:t>2.2 SCImago Journal Rank (SJR)</w:t>
      </w:r>
      <w:r>
        <w:tab/>
      </w:r>
      <w:r>
        <w:t>7</w:t>
      </w:r>
    </w:p>
    <w:p>
      <w:pPr>
        <w:pStyle w:val="TOC2"/>
      </w:pPr>
      <w:r>
        <w:t>2.3 Other Important Metrics</w:t>
      </w:r>
      <w:r>
        <w:tab/>
      </w:r>
      <w:r>
        <w:t>8</w:t>
      </w:r>
    </w:p>
    <w:p>
      <w:pPr>
        <w:pStyle w:val="TOC1"/>
      </w:pPr>
      <w:r>
        <w:t>Chapter 3: Prominent Q1 Journals by Field</w:t>
      </w:r>
      <w:r>
        <w:tab/>
      </w:r>
      <w:r>
        <w:t>10</w:t>
      </w:r>
    </w:p>
    <w:p>
      <w:pPr>
        <w:pStyle w:val="TOC2"/>
      </w:pPr>
      <w:r>
        <w:t>3.1 Medicine and Healthcare</w:t>
      </w:r>
      <w:r>
        <w:tab/>
      </w:r>
      <w:r>
        <w:t>10</w:t>
      </w:r>
    </w:p>
    <w:p>
      <w:pPr>
        <w:pStyle w:val="TOC2"/>
      </w:pPr>
      <w:r>
        <w:t>3.2 Computer Science and Engineering</w:t>
      </w:r>
      <w:r>
        <w:tab/>
      </w:r>
      <w:r>
        <w:t>12</w:t>
      </w:r>
    </w:p>
    <w:p>
      <w:pPr>
        <w:pStyle w:val="TOC2"/>
      </w:pPr>
      <w:r>
        <w:t>3.3 Social Sciences and Economics</w:t>
      </w:r>
      <w:r>
        <w:tab/>
      </w:r>
      <w:r>
        <w:t>14</w:t>
      </w:r>
    </w:p>
    <w:p>
      <w:pPr>
        <w:pStyle w:val="TOC1"/>
      </w:pPr>
      <w:r>
        <w:t>Chapter 4: The Peer Review Process</w:t>
      </w:r>
      <w:r>
        <w:tab/>
      </w:r>
      <w:r>
        <w:t>16</w:t>
      </w:r>
    </w:p>
    <w:p>
      <w:pPr>
        <w:pStyle w:val="TOC2"/>
      </w:pPr>
      <w:r>
        <w:t>4.1 Editorial Screening (Desk Review)</w:t>
      </w:r>
      <w:r>
        <w:tab/>
      </w:r>
      <w:r>
        <w:t>16</w:t>
      </w:r>
    </w:p>
    <w:p>
      <w:pPr>
        <w:pStyle w:val="TOC2"/>
      </w:pPr>
      <w:r>
        <w:t>4.2 Peer Review Stages</w:t>
      </w:r>
      <w:r>
        <w:tab/>
      </w:r>
      <w:r>
        <w:t>17</w:t>
      </w:r>
    </w:p>
    <w:p>
      <w:pPr>
        <w:pStyle w:val="TOC2"/>
      </w:pPr>
      <w:r>
        <w:t>4.3 Editorial Decision Types</w:t>
      </w:r>
      <w:r>
        <w:tab/>
      </w:r>
      <w:r>
        <w:t>18</w:t>
      </w:r>
    </w:p>
    <w:p>
      <w:pPr>
        <w:pStyle w:val="TOC1"/>
      </w:pPr>
      <w:r>
        <w:t>Chapter 5: What Reviewers Look For</w:t>
      </w:r>
      <w:r>
        <w:tab/>
      </w:r>
      <w:r>
        <w:t>20</w:t>
      </w:r>
    </w:p>
    <w:p>
      <w:pPr>
        <w:pStyle w:val="TOC2"/>
      </w:pPr>
      <w:r>
        <w:t>5.1 The Contribution Triangle</w:t>
      </w:r>
      <w:r>
        <w:tab/>
      </w:r>
      <w:r>
        <w:t>20</w:t>
      </w:r>
    </w:p>
    <w:p>
      <w:pPr>
        <w:pStyle w:val="TOC2"/>
      </w:pPr>
      <w:r>
        <w:t>5.2 Key Evaluation Criteria</w:t>
      </w:r>
      <w:r>
        <w:tab/>
      </w:r>
      <w:r>
        <w:t>21</w:t>
      </w:r>
    </w:p>
    <w:p>
      <w:pPr>
        <w:pStyle w:val="TOC2"/>
      </w:pPr>
      <w:r>
        <w:t>5.3 Common Rejection Reasons</w:t>
      </w:r>
      <w:r>
        <w:tab/>
      </w:r>
      <w:r>
        <w:t>22</w:t>
      </w:r>
    </w:p>
    <w:p>
      <w:pPr>
        <w:pStyle w:val="TOC1"/>
      </w:pPr>
      <w:r>
        <w:t>Chapter 6: Strategies for Publication Success</w:t>
      </w:r>
      <w:r>
        <w:tab/>
      </w:r>
      <w:r>
        <w:t>24</w:t>
      </w:r>
    </w:p>
    <w:p>
      <w:pPr>
        <w:pStyle w:val="TOC2"/>
      </w:pPr>
      <w:r>
        <w:t>6.1 Journal Selection Strategy</w:t>
      </w:r>
      <w:r>
        <w:tab/>
      </w:r>
      <w:r>
        <w:t>24</w:t>
      </w:r>
    </w:p>
    <w:p>
      <w:pPr>
        <w:pStyle w:val="TOC2"/>
      </w:pPr>
      <w:r>
        <w:t>6.2 Writing for Q1 Journals</w:t>
      </w:r>
      <w:r>
        <w:tab/>
      </w:r>
      <w:r>
        <w:t>25</w:t>
      </w:r>
    </w:p>
    <w:p>
      <w:pPr>
        <w:pStyle w:val="TOC2"/>
      </w:pPr>
      <w:r>
        <w:t>6.3 Responding to Reviewers</w:t>
      </w:r>
      <w:r>
        <w:tab/>
      </w:r>
      <w:r>
        <w:t>26</w:t>
      </w:r>
    </w:p>
    <w:p>
      <w:pPr>
        <w:pStyle w:val="TOC1"/>
      </w:pPr>
      <w:r>
        <w:t>Chapter 7: Common Mistakes to Avoid</w:t>
      </w:r>
      <w:r>
        <w:tab/>
      </w:r>
      <w:r>
        <w:t>28</w:t>
      </w:r>
    </w:p>
    <w:p>
      <w:pPr>
        <w:pStyle w:val="TOC1"/>
      </w:pPr>
      <w:r>
        <w:t>Chapter 8: Resources and Tools</w:t>
      </w:r>
      <w:r>
        <w:tab/>
      </w:r>
      <w:r>
        <w:t>30</w:t>
      </w:r>
    </w:p>
    <w:p>
      <w:r>
        <w:fldChar w:fldCharType="end"/>
      </w:r>
    </w:p>
    <w:p>
      <w:pPr>
        <w:sectPr>
          <w:type w:val="nextPage"/>
          <w:pgSz w:w="11906" w:h="16838"/>
          <w:pgMar w:top="1440" w:right="1440" w:bottom="1440" w:left="1440" w:header="720" w:footer="720"/>
        </w:sectPr>
      </w:pPr>
    </w:p>
    <w:p>
      <w:pPr>
        <w:pStyle w:val="Heading1"/>
      </w:pPr>
      <w:r>
        <w:t>Chapter 1: Understanding Q1 Journals</w:t>
      </w:r>
    </w:p>
    <w:p>
      <w:r>
        <w:t>Publishing in Q1 journals represents the pinnacle of academic achievement for researchers across all disciplines. These journals occupy the top 25% of rankings within their respective fields and are recognized globally for their rigorous peer review processes, high impact factors, and significant contributions to advancing knowledge.</w:t>
      </w:r>
    </w:p>
    <w:p>
      <w:pPr>
        <w:pStyle w:val="Heading2"/>
      </w:pPr>
      <w:r>
        <w:t>1.1 What Are Journal Quartiles?</w:t>
      </w:r>
    </w:p>
    <w:p>
      <w:r>
        <w:t>Journal quartiles are a classification system used to rank academic journals within specific subject categories. The system divides journals into four equal groups (quartiles) based on their impact metrics:</w:t>
      </w:r>
    </w:p>
    <w:tbl>
      <w:tblPr>
        <w:tblW w:w="5000" w:type="pct"/>
        <w:tblBorders>
          <w:top w:val="single" w:color="1565C0" w:sz="12"/>
          <w:left w:val="nil"/>
          <w:bottom w:val="single" w:color="1565C0" w:sz="12"/>
          <w:right w:val="nil"/>
          <w:insideH w:val="single" w:color="E0E0E0" w:sz="4"/>
          <w:insideV w:val="nil"/>
        </w:tblBorders>
      </w:tblPr>
      <w:tblGrid>
        <w:gridCol w:w="1500"/>
        <w:gridCol w:w="2000"/>
        <w:gridCol w:w="2500"/>
        <w:gridCol w:w="2000"/>
        <w:gridCol w:w="20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Quartile</w:t>
            </w:r>
          </w:p>
        </w:tc>
        <w:tc>
          <w:tcPr>
            <w:tcW w:w="0" w:type="auto"/>
            <w:tcBorders>
              <w:bottom w:val="single" w:color="1565C0" w:sz="8"/>
            </w:tcBorders>
            <w:shd w:val="clear" w:fill="E3F2FD"/>
            <w:vAlign w:val="center"/>
          </w:tcPr>
          <w:p>
            <w:pPr>
              <w:spacing w:before="100" w:after="100"/>
              <w:jc w:val="center"/>
            </w:pPr>
            <w:r>
              <w:rPr>
                <w:b/>
                <w:color w:val="212121"/>
                <w:sz w:val="21"/>
              </w:rPr>
              <w:t>Ranking</w:t>
            </w:r>
          </w:p>
        </w:tc>
        <w:tc>
          <w:tcPr>
            <w:tcW w:w="0" w:type="auto"/>
            <w:tcBorders>
              <w:bottom w:val="single" w:color="1565C0" w:sz="8"/>
            </w:tcBorders>
            <w:shd w:val="clear" w:fill="E3F2FD"/>
            <w:vAlign w:val="center"/>
          </w:tcPr>
          <w:p>
            <w:pPr>
              <w:spacing w:before="100" w:after="100"/>
              <w:jc w:val="center"/>
            </w:pPr>
            <w:r>
              <w:rPr>
                <w:b/>
                <w:color w:val="212121"/>
                <w:sz w:val="21"/>
              </w:rPr>
              <w:t>Impact</w:t>
            </w:r>
          </w:p>
        </w:tc>
        <w:tc>
          <w:tcPr>
            <w:tcW w:w="0" w:type="auto"/>
            <w:tcBorders>
              <w:bottom w:val="single" w:color="1565C0" w:sz="8"/>
            </w:tcBorders>
            <w:shd w:val="clear" w:fill="E3F2FD"/>
            <w:vAlign w:val="center"/>
          </w:tcPr>
          <w:p>
            <w:pPr>
              <w:spacing w:before="100" w:after="100"/>
              <w:jc w:val="center"/>
            </w:pPr>
            <w:r>
              <w:rPr>
                <w:b/>
                <w:color w:val="212121"/>
                <w:sz w:val="21"/>
              </w:rPr>
              <w:t>Reputation</w:t>
            </w:r>
          </w:p>
        </w:tc>
        <w:tc>
          <w:tcPr>
            <w:tcW w:w="0" w:type="auto"/>
            <w:tcBorders>
              <w:bottom w:val="single" w:color="1565C0" w:sz="8"/>
            </w:tcBorders>
            <w:shd w:val="clear" w:fill="E3F2FD"/>
            <w:vAlign w:val="center"/>
          </w:tcPr>
          <w:p>
            <w:pPr>
              <w:spacing w:before="100" w:after="100"/>
              <w:jc w:val="center"/>
            </w:pPr>
            <w:r>
              <w:rPr>
                <w:b/>
                <w:color w:val="212121"/>
                <w:sz w:val="21"/>
              </w:rPr>
              <w:t>Acceptance</w:t>
            </w:r>
          </w:p>
        </w:tc>
      </w:tr>
      <w:tr>
        <w:tc>
          <w:tcPr>
            <w:tcW w:w="0" w:type="auto"/>
            <w:vAlign w:val="center"/>
          </w:tcPr>
          <w:p>
            <w:pPr>
              <w:spacing w:before="80" w:after="80"/>
              <w:jc w:val="left"/>
            </w:pPr>
            <w:r>
              <w:rPr>
                <w:color w:val="212121"/>
                <w:sz w:val="20"/>
              </w:rPr>
              <w:t>Q1</w:t>
            </w:r>
          </w:p>
        </w:tc>
        <w:tc>
          <w:tcPr>
            <w:tcW w:w="0" w:type="auto"/>
            <w:vAlign w:val="center"/>
          </w:tcPr>
          <w:p>
            <w:pPr>
              <w:spacing w:before="80" w:after="80"/>
              <w:jc w:val="center"/>
            </w:pPr>
            <w:r>
              <w:rPr>
                <w:color w:val="212121"/>
                <w:sz w:val="20"/>
              </w:rPr>
              <w:t>Top 25%</w:t>
            </w:r>
          </w:p>
        </w:tc>
        <w:tc>
          <w:tcPr>
            <w:tcW w:w="0" w:type="auto"/>
            <w:vAlign w:val="center"/>
          </w:tcPr>
          <w:p>
            <w:pPr>
              <w:spacing w:before="80" w:after="80"/>
              <w:jc w:val="center"/>
            </w:pPr>
            <w:r>
              <w:rPr>
                <w:color w:val="212121"/>
                <w:sz w:val="20"/>
              </w:rPr>
              <w:t>Very High</w:t>
            </w:r>
          </w:p>
        </w:tc>
        <w:tc>
          <w:tcPr>
            <w:tcW w:w="0" w:type="auto"/>
            <w:vAlign w:val="center"/>
          </w:tcPr>
          <w:p>
            <w:pPr>
              <w:spacing w:before="80" w:after="80"/>
              <w:jc w:val="center"/>
            </w:pPr>
            <w:r>
              <w:rPr>
                <w:color w:val="212121"/>
                <w:sz w:val="20"/>
              </w:rPr>
              <w:t>Prestigious</w:t>
            </w:r>
          </w:p>
        </w:tc>
        <w:tc>
          <w:tcPr>
            <w:tcW w:w="0" w:type="auto"/>
            <w:vAlign w:val="center"/>
          </w:tcPr>
          <w:p>
            <w:pPr>
              <w:spacing w:before="80" w:after="80"/>
              <w:jc w:val="center"/>
            </w:pPr>
            <w:r>
              <w:rPr>
                <w:color w:val="212121"/>
                <w:sz w:val="20"/>
              </w:rPr>
              <w:t>Highly Selective</w:t>
            </w:r>
          </w:p>
        </w:tc>
      </w:tr>
      <w:tr>
        <w:tc>
          <w:tcPr>
            <w:tcW w:w="0" w:type="auto"/>
            <w:vAlign w:val="center"/>
          </w:tcPr>
          <w:p>
            <w:pPr>
              <w:spacing w:before="80" w:after="80"/>
              <w:jc w:val="left"/>
            </w:pPr>
            <w:r>
              <w:rPr>
                <w:color w:val="212121"/>
                <w:sz w:val="20"/>
              </w:rPr>
              <w:t>Q2</w:t>
            </w:r>
          </w:p>
        </w:tc>
        <w:tc>
          <w:tcPr>
            <w:tcW w:w="0" w:type="auto"/>
            <w:vAlign w:val="center"/>
          </w:tcPr>
          <w:p>
            <w:pPr>
              <w:spacing w:before="80" w:after="80"/>
              <w:jc w:val="center"/>
            </w:pPr>
            <w:r>
              <w:rPr>
                <w:color w:val="212121"/>
                <w:sz w:val="20"/>
              </w:rPr>
              <w:t>25-50%</w:t>
            </w:r>
          </w:p>
        </w:tc>
        <w:tc>
          <w:tcPr>
            <w:tcW w:w="0" w:type="auto"/>
            <w:vAlign w:val="center"/>
          </w:tcPr>
          <w:p>
            <w:pPr>
              <w:spacing w:before="80" w:after="80"/>
              <w:jc w:val="center"/>
            </w:pPr>
            <w:r>
              <w:rPr>
                <w:color w:val="212121"/>
                <w:sz w:val="20"/>
              </w:rPr>
              <w:t>High</w:t>
            </w:r>
          </w:p>
        </w:tc>
        <w:tc>
          <w:tcPr>
            <w:tcW w:w="0" w:type="auto"/>
            <w:vAlign w:val="center"/>
          </w:tcPr>
          <w:p>
            <w:pPr>
              <w:spacing w:before="80" w:after="80"/>
              <w:jc w:val="center"/>
            </w:pPr>
            <w:r>
              <w:rPr>
                <w:color w:val="212121"/>
                <w:sz w:val="20"/>
              </w:rPr>
              <w:t>Well-Respected</w:t>
            </w:r>
          </w:p>
        </w:tc>
        <w:tc>
          <w:tcPr>
            <w:tcW w:w="0" w:type="auto"/>
            <w:vAlign w:val="center"/>
          </w:tcPr>
          <w:p>
            <w:pPr>
              <w:spacing w:before="80" w:after="80"/>
              <w:jc w:val="center"/>
            </w:pPr>
            <w:r>
              <w:rPr>
                <w:color w:val="212121"/>
                <w:sz w:val="20"/>
              </w:rPr>
              <w:t>Competitive</w:t>
            </w:r>
          </w:p>
        </w:tc>
      </w:tr>
      <w:tr>
        <w:tc>
          <w:tcPr>
            <w:tcW w:w="0" w:type="auto"/>
            <w:vAlign w:val="center"/>
          </w:tcPr>
          <w:p>
            <w:pPr>
              <w:spacing w:before="80" w:after="80"/>
              <w:jc w:val="left"/>
            </w:pPr>
            <w:r>
              <w:rPr>
                <w:color w:val="212121"/>
                <w:sz w:val="20"/>
              </w:rPr>
              <w:t>Q3</w:t>
            </w:r>
          </w:p>
        </w:tc>
        <w:tc>
          <w:tcPr>
            <w:tcW w:w="0" w:type="auto"/>
            <w:vAlign w:val="center"/>
          </w:tcPr>
          <w:p>
            <w:pPr>
              <w:spacing w:before="80" w:after="80"/>
              <w:jc w:val="center"/>
            </w:pPr>
            <w:r>
              <w:rPr>
                <w:color w:val="212121"/>
                <w:sz w:val="20"/>
              </w:rPr>
              <w:t>50-75%</w:t>
            </w:r>
          </w:p>
        </w:tc>
        <w:tc>
          <w:tcPr>
            <w:tcW w:w="0" w:type="auto"/>
            <w:vAlign w:val="center"/>
          </w:tcPr>
          <w:p>
            <w:pPr>
              <w:spacing w:before="80" w:after="80"/>
              <w:jc w:val="center"/>
            </w:pPr>
            <w:r>
              <w:rPr>
                <w:color w:val="212121"/>
                <w:sz w:val="20"/>
              </w:rPr>
              <w:t>Moderate</w:t>
            </w:r>
          </w:p>
        </w:tc>
        <w:tc>
          <w:tcPr>
            <w:tcW w:w="0" w:type="auto"/>
            <w:vAlign w:val="center"/>
          </w:tcPr>
          <w:p>
            <w:pPr>
              <w:spacing w:before="80" w:after="80"/>
              <w:jc w:val="center"/>
            </w:pPr>
            <w:r>
              <w:rPr>
                <w:color w:val="212121"/>
                <w:sz w:val="20"/>
              </w:rPr>
              <w:t>Good Recognition</w:t>
            </w:r>
          </w:p>
        </w:tc>
        <w:tc>
          <w:tcPr>
            <w:tcW w:w="0" w:type="auto"/>
            <w:vAlign w:val="center"/>
          </w:tcPr>
          <w:p>
            <w:pPr>
              <w:spacing w:before="80" w:after="80"/>
              <w:jc w:val="center"/>
            </w:pPr>
            <w:r>
              <w:rPr>
                <w:color w:val="212121"/>
                <w:sz w:val="20"/>
              </w:rPr>
              <w:t>Moderate</w:t>
            </w:r>
          </w:p>
        </w:tc>
      </w:tr>
      <w:tr>
        <w:tc>
          <w:tcPr>
            <w:tcW w:w="0" w:type="auto"/>
            <w:vAlign w:val="center"/>
          </w:tcPr>
          <w:p>
            <w:pPr>
              <w:spacing w:before="80" w:after="80"/>
              <w:jc w:val="left"/>
            </w:pPr>
            <w:r>
              <w:rPr>
                <w:color w:val="212121"/>
                <w:sz w:val="20"/>
              </w:rPr>
              <w:t>Q4</w:t>
            </w:r>
          </w:p>
        </w:tc>
        <w:tc>
          <w:tcPr>
            <w:tcW w:w="0" w:type="auto"/>
            <w:vAlign w:val="center"/>
          </w:tcPr>
          <w:p>
            <w:pPr>
              <w:spacing w:before="80" w:after="80"/>
              <w:jc w:val="center"/>
            </w:pPr>
            <w:r>
              <w:rPr>
                <w:color w:val="212121"/>
                <w:sz w:val="20"/>
              </w:rPr>
              <w:t>Bottom 25%</w:t>
            </w:r>
          </w:p>
        </w:tc>
        <w:tc>
          <w:tcPr>
            <w:tcW w:w="0" w:type="auto"/>
            <w:vAlign w:val="center"/>
          </w:tcPr>
          <w:p>
            <w:pPr>
              <w:spacing w:before="80" w:after="80"/>
              <w:jc w:val="center"/>
            </w:pPr>
            <w:r>
              <w:rPr>
                <w:color w:val="212121"/>
                <w:sz w:val="20"/>
              </w:rPr>
              <w:t>Lower</w:t>
            </w:r>
          </w:p>
        </w:tc>
        <w:tc>
          <w:tcPr>
            <w:tcW w:w="0" w:type="auto"/>
            <w:vAlign w:val="center"/>
          </w:tcPr>
          <w:p>
            <w:pPr>
              <w:spacing w:before="80" w:after="80"/>
              <w:jc w:val="center"/>
            </w:pPr>
            <w:r>
              <w:rPr>
                <w:color w:val="212121"/>
                <w:sz w:val="20"/>
              </w:rPr>
              <w:t>Entry-Level</w:t>
            </w:r>
          </w:p>
        </w:tc>
        <w:tc>
          <w:tcPr>
            <w:tcW w:w="0" w:type="auto"/>
            <w:vAlign w:val="center"/>
          </w:tcPr>
          <w:p>
            <w:pPr>
              <w:spacing w:before="80" w:after="80"/>
              <w:jc w:val="center"/>
            </w:pPr>
            <w:r>
              <w:rPr>
                <w:color w:val="212121"/>
                <w:sz w:val="20"/>
              </w:rPr>
              <w:t>Easier</w:t>
            </w:r>
          </w:p>
        </w:tc>
      </w:tr>
    </w:tbl>
    <w:p>
      <w:pPr>
        <w:pStyle w:val="Caption"/>
      </w:pPr>
      <w:r>
        <w:t>Table 1: Journal Quartile Classification System</w:t>
      </w:r>
    </w:p>
    <w:p>
      <w:r>
        <w:t>The quartile ranking is determined primarily by citation metrics such as the Journal Impact Factor (JIF) in Web of Science or the SCImago Journal Rank (SJR) in Scopus. Journals are ranked within their specific subject categories, meaning a Q1 journal in Computer Science holds equivalent prestige to a Q1 journal in Medicine within their respective fields.</w:t>
      </w:r>
    </w:p>
    <w:p>
      <w:pPr>
        <w:pStyle w:val="Heading2"/>
      </w:pPr>
      <w:r>
        <w:t>1.2 Why Q1 Journals Matter</w:t>
      </w:r>
    </w:p>
    <w:p>
      <w:r>
        <w:t>Publishing in Q1 journals offers numerous benefits for researchers at all career stages:</w:t>
      </w:r>
    </w:p>
    <w:p>
      <w:pPr>
        <w:numPr>
          <w:ilvl w:val="0"/>
          <w:numId w:val="2"/>
        </w:numPr>
        <w:spacing w:after="120"/>
      </w:pPr>
      <w:r>
        <w:rPr>
          <w:b/>
        </w:rPr>
        <w:t>Enhanced Visibility</w:t>
      </w:r>
      <w:r>
        <w:t>: Q1 journals have higher readership and citation rates, ensuring your research reaches a wider audience.</w:t>
      </w:r>
    </w:p>
    <w:p>
      <w:pPr>
        <w:numPr>
          <w:ilvl w:val="0"/>
          <w:numId w:val="2"/>
        </w:numPr>
        <w:spacing w:after="120"/>
      </w:pPr>
      <w:r>
        <w:rPr>
          <w:b/>
        </w:rPr>
        <w:t>Academic Recognition</w:t>
      </w:r>
      <w:r>
        <w:t>: Publications in top-tier journals are highly valued in academic evaluations, promotions, and tenure decisions.</w:t>
      </w:r>
    </w:p>
    <w:p>
      <w:pPr>
        <w:numPr>
          <w:ilvl w:val="0"/>
          <w:numId w:val="2"/>
        </w:numPr>
        <w:spacing w:after="120"/>
      </w:pPr>
      <w:r>
        <w:rPr>
          <w:b/>
        </w:rPr>
        <w:t>Career Advancement</w:t>
      </w:r>
      <w:r>
        <w:t>: Many institutions and funding bodies specifically require or prefer Q1 publications for grants, fellowships, and positions.</w:t>
      </w:r>
    </w:p>
    <w:p>
      <w:pPr>
        <w:numPr>
          <w:ilvl w:val="0"/>
          <w:numId w:val="2"/>
        </w:numPr>
        <w:spacing w:after="120"/>
      </w:pPr>
      <w:r>
        <w:rPr>
          <w:b/>
        </w:rPr>
        <w:t>Research Impact</w:t>
      </w:r>
      <w:r>
        <w:t>: Studies published in Q1 journals tend to receive more citations, amplifying your contribution to the field.</w:t>
      </w:r>
    </w:p>
    <w:p>
      <w:pPr>
        <w:numPr>
          <w:ilvl w:val="0"/>
          <w:numId w:val="2"/>
        </w:numPr>
        <w:spacing w:after="120"/>
      </w:pPr>
      <w:r>
        <w:rPr>
          <w:b/>
        </w:rPr>
        <w:t>Networking Opportunities</w:t>
      </w:r>
      <w:r>
        <w:t>: High-impact journals attract leading researchers, creating opportunities for collaboration and recognition.</w:t>
      </w:r>
    </w:p>
    <w:p>
      <w:pPr>
        <w:pStyle w:val="Heading2"/>
      </w:pPr>
      <w:r>
        <w:t>1.3 How Quartiles Are Calculated</w:t>
      </w:r>
    </w:p>
    <w:p>
      <w:r>
        <w:t>Quartile rankings are calculated annually based on citation data. The process involves:</w:t>
      </w:r>
    </w:p>
    <w:p>
      <w:pPr>
        <w:numPr>
          <w:ilvl w:val="0"/>
          <w:numId w:val="1"/>
        </w:numPr>
        <w:spacing w:after="120"/>
      </w:pPr>
      <w:r>
        <w:rPr>
          <w:b/>
        </w:rPr>
        <w:t>Data Collection</w:t>
      </w:r>
      <w:r>
        <w:t>: Citation databases (Web of Science, Scopus) collect citation counts for all indexed journals over a specified period.</w:t>
      </w:r>
    </w:p>
    <w:p>
      <w:pPr>
        <w:numPr>
          <w:ilvl w:val="0"/>
          <w:numId w:val="1"/>
        </w:numPr>
        <w:spacing w:after="120"/>
      </w:pPr>
      <w:r>
        <w:rPr>
          <w:b/>
        </w:rPr>
        <w:t>Category Assignment</w:t>
      </w:r>
      <w:r>
        <w:t>: Each journal is assigned to one or more subject categories based on its scope and content.</w:t>
      </w:r>
    </w:p>
    <w:p>
      <w:pPr>
        <w:numPr>
          <w:ilvl w:val="0"/>
          <w:numId w:val="1"/>
        </w:numPr>
        <w:spacing w:after="120"/>
      </w:pPr>
      <w:r>
        <w:rPr>
          <w:b/>
        </w:rPr>
        <w:t>Metric Calculation</w:t>
      </w:r>
      <w:r>
        <w:t>: Impact metrics (IF, SJR, CiteScore) are calculated for each journal within its category.</w:t>
      </w:r>
    </w:p>
    <w:p>
      <w:pPr>
        <w:numPr>
          <w:ilvl w:val="0"/>
          <w:numId w:val="1"/>
        </w:numPr>
        <w:spacing w:after="120"/>
      </w:pPr>
      <w:r>
        <w:rPr>
          <w:b/>
        </w:rPr>
        <w:t>Ranking and Division</w:t>
      </w:r>
      <w:r>
        <w:t>: Journals are ranked by their metric scores and divided into four equal quartiles.</w:t>
      </w:r>
    </w:p>
    <w:p>
      <w:r>
        <w:t>It is important to note that a journal's quartile can vary across different subject categories. For example, an interdisciplinary journal might be Q1 in a specialized category but Q2 in a broader, more competitive category.</w:t>
      </w:r>
    </w:p>
    <w:p>
      <w:pPr>
        <w:pStyle w:val="Heading1"/>
      </w:pPr>
      <w:r>
        <w:t>Chapter 2: Journal Rankings and Metrics</w:t>
      </w:r>
    </w:p>
    <w:p>
      <w:r>
        <w:t>Understanding the various metrics used to evaluate journals is essential for making informed publication decisions. Each metric provides a different perspective on journal quality and impact.</w:t>
      </w:r>
    </w:p>
    <w:p>
      <w:pPr>
        <w:pStyle w:val="Heading2"/>
      </w:pPr>
      <w:r>
        <w:t>2.1 Impact Factor (IF)</w:t>
      </w:r>
    </w:p>
    <w:p>
      <w:r>
        <w:t>The Journal Impact Factor, developed by Eugene Garfield, is the most widely recognized metric for evaluating journal influence. It measures the average number of citations received per article published in the journal over a two-year period.</w:t>
      </w:r>
    </w:p>
    <w:p>
      <w:pPr>
        <w:shd w:val="clear" w:fill="E3F2FD"/>
        <w:spacing w:before="200" w:after="200"/>
        <w:ind w:left="360" w:right="360"/>
      </w:pPr>
      <w:r>
        <w:rPr>
          <w:b/>
        </w:rPr>
        <w:t>Impact Factor Formula: </w:t>
      </w:r>
      <w:r>
        <w:t>IF = (Citations in Year Y to articles from Years Y-1 and Y-2) / (Number of articles published in Years Y-1 and Y-2)</w:t>
      </w:r>
    </w:p>
    <w:p>
      <w:r>
        <w:t>For example, if a journal published 100 articles in 2023-2024 and those articles received 400 citations in 2025, the journal's 2025 Impact Factor would be 4.0.</w:t>
      </w:r>
    </w:p>
    <w:p>
      <w:pPr>
        <w:pStyle w:val="Heading2"/>
      </w:pPr>
      <w:r>
        <w:t>2.2 SCImago Journal Rank (SJR)</w:t>
      </w:r>
    </w:p>
    <w:p>
      <w:r>
        <w:t>The SCImago Journal Rank is a prestige metric based on the idea that not all citations are equal. SJR weights citations based on the prestige of the citing journal, with citations from high-prestige journals carrying more weight than those from lower-tier journals.</w:t>
      </w:r>
    </w:p>
    <w:p>
      <w:r>
        <w:t>Key features of SJR include:</w:t>
      </w:r>
    </w:p>
    <w:p>
      <w:pPr>
        <w:numPr>
          <w:ilvl w:val="0"/>
          <w:numId w:val="2"/>
        </w:numPr>
        <w:spacing w:after="120"/>
      </w:pPr>
      <w:r>
        <w:rPr>
          <w:b/>
        </w:rPr>
        <w:t>Prestige Weighting</w:t>
      </w:r>
      <w:r>
        <w:t>: Citations from Nature or Science count more than citations from lower-impact journals.</w:t>
      </w:r>
    </w:p>
    <w:p>
      <w:pPr>
        <w:numPr>
          <w:ilvl w:val="0"/>
          <w:numId w:val="2"/>
        </w:numPr>
        <w:spacing w:after="120"/>
      </w:pPr>
      <w:r>
        <w:rPr>
          <w:b/>
        </w:rPr>
        <w:t>Three-Year Window</w:t>
      </w:r>
      <w:r>
        <w:t>: SJR uses a three-year citation window, providing a more stable metric than the two-year IF.</w:t>
      </w:r>
    </w:p>
    <w:p>
      <w:pPr>
        <w:numPr>
          <w:ilvl w:val="0"/>
          <w:numId w:val="2"/>
        </w:numPr>
        <w:spacing w:after="120"/>
      </w:pPr>
      <w:r>
        <w:rPr>
          <w:b/>
        </w:rPr>
        <w:t>Subject Normalization</w:t>
      </w:r>
      <w:r>
        <w:t>: SJR accounts for differences in citation practices across disciplines.</w:t>
      </w:r>
    </w:p>
    <w:p>
      <w:pPr>
        <w:pStyle w:val="Heading2"/>
      </w:pPr>
      <w:r>
        <w:t>2.3 Other Important Metrics</w:t>
      </w:r>
    </w:p>
    <w:tbl>
      <w:tblPr>
        <w:tblW w:w="5000" w:type="pct"/>
        <w:tblBorders>
          <w:top w:val="single" w:color="1565C0" w:sz="12"/>
          <w:left w:val="nil"/>
          <w:bottom w:val="single" w:color="1565C0" w:sz="12"/>
          <w:right w:val="nil"/>
          <w:insideH w:val="single" w:color="E0E0E0" w:sz="4"/>
          <w:insideV w:val="nil"/>
        </w:tblBorders>
      </w:tblPr>
      <w:tblGrid>
        <w:gridCol w:w="2000"/>
        <w:gridCol w:w="2500"/>
        <w:gridCol w:w="2500"/>
        <w:gridCol w:w="30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Metric</w:t>
            </w:r>
          </w:p>
        </w:tc>
        <w:tc>
          <w:tcPr>
            <w:tcW w:w="0" w:type="auto"/>
            <w:tcBorders>
              <w:bottom w:val="single" w:color="1565C0" w:sz="8"/>
            </w:tcBorders>
            <w:shd w:val="clear" w:fill="E3F2FD"/>
            <w:vAlign w:val="center"/>
          </w:tcPr>
          <w:p>
            <w:pPr>
              <w:spacing w:before="100" w:after="100"/>
              <w:jc w:val="center"/>
            </w:pPr>
            <w:r>
              <w:rPr>
                <w:b/>
                <w:color w:val="212121"/>
                <w:sz w:val="21"/>
              </w:rPr>
              <w:t>Provider</w:t>
            </w:r>
          </w:p>
        </w:tc>
        <w:tc>
          <w:tcPr>
            <w:tcW w:w="0" w:type="auto"/>
            <w:tcBorders>
              <w:bottom w:val="single" w:color="1565C0" w:sz="8"/>
            </w:tcBorders>
            <w:shd w:val="clear" w:fill="E3F2FD"/>
            <w:vAlign w:val="center"/>
          </w:tcPr>
          <w:p>
            <w:pPr>
              <w:spacing w:before="100" w:after="100"/>
              <w:jc w:val="center"/>
            </w:pPr>
            <w:r>
              <w:rPr>
                <w:b/>
                <w:color w:val="212121"/>
                <w:sz w:val="21"/>
              </w:rPr>
              <w:t>What It Measures</w:t>
            </w:r>
          </w:p>
        </w:tc>
        <w:tc>
          <w:tcPr>
            <w:tcW w:w="0" w:type="auto"/>
            <w:tcBorders>
              <w:bottom w:val="single" w:color="1565C0" w:sz="8"/>
            </w:tcBorders>
            <w:shd w:val="clear" w:fill="E3F2FD"/>
            <w:vAlign w:val="center"/>
          </w:tcPr>
          <w:p>
            <w:pPr>
              <w:spacing w:before="100" w:after="100"/>
              <w:jc w:val="center"/>
            </w:pPr>
            <w:r>
              <w:rPr>
                <w:b/>
                <w:color w:val="212121"/>
                <w:sz w:val="21"/>
              </w:rPr>
              <w:t>Best For</w:t>
            </w:r>
          </w:p>
        </w:tc>
      </w:tr>
      <w:tr>
        <w:tc>
          <w:tcPr>
            <w:tcW w:w="0" w:type="auto"/>
            <w:vAlign w:val="center"/>
          </w:tcPr>
          <w:p>
            <w:pPr>
              <w:spacing w:before="80" w:after="80"/>
              <w:jc w:val="left"/>
            </w:pPr>
            <w:r>
              <w:rPr>
                <w:color w:val="212121"/>
                <w:sz w:val="20"/>
              </w:rPr>
              <w:t>Impact Factor</w:t>
            </w:r>
          </w:p>
        </w:tc>
        <w:tc>
          <w:tcPr>
            <w:tcW w:w="0" w:type="auto"/>
            <w:vAlign w:val="center"/>
          </w:tcPr>
          <w:p>
            <w:pPr>
              <w:spacing w:before="80" w:after="80"/>
              <w:jc w:val="center"/>
            </w:pPr>
            <w:r>
              <w:rPr>
                <w:color w:val="212121"/>
                <w:sz w:val="20"/>
              </w:rPr>
              <w:t>Clarivate (JCR)</w:t>
            </w:r>
          </w:p>
        </w:tc>
        <w:tc>
          <w:tcPr>
            <w:tcW w:w="0" w:type="auto"/>
            <w:vAlign w:val="center"/>
          </w:tcPr>
          <w:p>
            <w:pPr>
              <w:spacing w:before="80" w:after="80"/>
              <w:jc w:val="center"/>
            </w:pPr>
            <w:r>
              <w:rPr>
                <w:color w:val="212121"/>
                <w:sz w:val="20"/>
              </w:rPr>
              <w:t>Average citations per article</w:t>
            </w:r>
          </w:p>
        </w:tc>
        <w:tc>
          <w:tcPr>
            <w:tcW w:w="0" w:type="auto"/>
            <w:vAlign w:val="center"/>
          </w:tcPr>
          <w:p>
            <w:pPr>
              <w:spacing w:before="80" w:after="80"/>
              <w:jc w:val="center"/>
            </w:pPr>
            <w:r>
              <w:rPr>
                <w:color w:val="212121"/>
                <w:sz w:val="20"/>
              </w:rPr>
              <w:t>Overall influence</w:t>
            </w:r>
          </w:p>
        </w:tc>
      </w:tr>
      <w:tr>
        <w:tc>
          <w:tcPr>
            <w:tcW w:w="0" w:type="auto"/>
            <w:vAlign w:val="center"/>
          </w:tcPr>
          <w:p>
            <w:pPr>
              <w:spacing w:before="80" w:after="80"/>
              <w:jc w:val="left"/>
            </w:pPr>
            <w:r>
              <w:rPr>
                <w:color w:val="212121"/>
                <w:sz w:val="20"/>
              </w:rPr>
              <w:t>SJR</w:t>
            </w:r>
          </w:p>
        </w:tc>
        <w:tc>
          <w:tcPr>
            <w:tcW w:w="0" w:type="auto"/>
            <w:vAlign w:val="center"/>
          </w:tcPr>
          <w:p>
            <w:pPr>
              <w:spacing w:before="80" w:after="80"/>
              <w:jc w:val="center"/>
            </w:pPr>
            <w:r>
              <w:rPr>
                <w:color w:val="212121"/>
                <w:sz w:val="20"/>
              </w:rPr>
              <w:t>Scopus/SCImago</w:t>
            </w:r>
          </w:p>
        </w:tc>
        <w:tc>
          <w:tcPr>
            <w:tcW w:w="0" w:type="auto"/>
            <w:vAlign w:val="center"/>
          </w:tcPr>
          <w:p>
            <w:pPr>
              <w:spacing w:before="80" w:after="80"/>
              <w:jc w:val="center"/>
            </w:pPr>
            <w:r>
              <w:rPr>
                <w:color w:val="212121"/>
                <w:sz w:val="20"/>
              </w:rPr>
              <w:t>Prestige-weighted citations</w:t>
            </w:r>
          </w:p>
        </w:tc>
        <w:tc>
          <w:tcPr>
            <w:tcW w:w="0" w:type="auto"/>
            <w:vAlign w:val="center"/>
          </w:tcPr>
          <w:p>
            <w:pPr>
              <w:spacing w:before="80" w:after="80"/>
              <w:jc w:val="center"/>
            </w:pPr>
            <w:r>
              <w:rPr>
                <w:color w:val="212121"/>
                <w:sz w:val="20"/>
              </w:rPr>
              <w:t>Journal prestige</w:t>
            </w:r>
          </w:p>
        </w:tc>
      </w:tr>
      <w:tr>
        <w:tc>
          <w:tcPr>
            <w:tcW w:w="0" w:type="auto"/>
            <w:vAlign w:val="center"/>
          </w:tcPr>
          <w:p>
            <w:pPr>
              <w:spacing w:before="80" w:after="80"/>
              <w:jc w:val="left"/>
            </w:pPr>
            <w:r>
              <w:rPr>
                <w:color w:val="212121"/>
                <w:sz w:val="20"/>
              </w:rPr>
              <w:t>CiteScore</w:t>
            </w:r>
          </w:p>
        </w:tc>
        <w:tc>
          <w:tcPr>
            <w:tcW w:w="0" w:type="auto"/>
            <w:vAlign w:val="center"/>
          </w:tcPr>
          <w:p>
            <w:pPr>
              <w:spacing w:before="80" w:after="80"/>
              <w:jc w:val="center"/>
            </w:pPr>
            <w:r>
              <w:rPr>
                <w:color w:val="212121"/>
                <w:sz w:val="20"/>
              </w:rPr>
              <w:t>Scopus</w:t>
            </w:r>
          </w:p>
        </w:tc>
        <w:tc>
          <w:tcPr>
            <w:tcW w:w="0" w:type="auto"/>
            <w:vAlign w:val="center"/>
          </w:tcPr>
          <w:p>
            <w:pPr>
              <w:spacing w:before="80" w:after="80"/>
              <w:jc w:val="center"/>
            </w:pPr>
            <w:r>
              <w:rPr>
                <w:color w:val="212121"/>
                <w:sz w:val="20"/>
              </w:rPr>
              <w:t>4-year citation average</w:t>
            </w:r>
          </w:p>
        </w:tc>
        <w:tc>
          <w:tcPr>
            <w:tcW w:w="0" w:type="auto"/>
            <w:vAlign w:val="center"/>
          </w:tcPr>
          <w:p>
            <w:pPr>
              <w:spacing w:before="80" w:after="80"/>
              <w:jc w:val="center"/>
            </w:pPr>
            <w:r>
              <w:rPr>
                <w:color w:val="212121"/>
                <w:sz w:val="20"/>
              </w:rPr>
              <w:t>Long-term impact</w:t>
            </w:r>
          </w:p>
        </w:tc>
      </w:tr>
      <w:tr>
        <w:tc>
          <w:tcPr>
            <w:tcW w:w="0" w:type="auto"/>
            <w:vAlign w:val="center"/>
          </w:tcPr>
          <w:p>
            <w:pPr>
              <w:spacing w:before="80" w:after="80"/>
              <w:jc w:val="left"/>
            </w:pPr>
            <w:r>
              <w:rPr>
                <w:color w:val="212121"/>
                <w:sz w:val="20"/>
              </w:rPr>
              <w:t>SNIP</w:t>
            </w:r>
          </w:p>
        </w:tc>
        <w:tc>
          <w:tcPr>
            <w:tcW w:w="0" w:type="auto"/>
            <w:vAlign w:val="center"/>
          </w:tcPr>
          <w:p>
            <w:pPr>
              <w:spacing w:before="80" w:after="80"/>
              <w:jc w:val="center"/>
            </w:pPr>
            <w:r>
              <w:rPr>
                <w:color w:val="212121"/>
                <w:sz w:val="20"/>
              </w:rPr>
              <w:t>Scopus</w:t>
            </w:r>
          </w:p>
        </w:tc>
        <w:tc>
          <w:tcPr>
            <w:tcW w:w="0" w:type="auto"/>
            <w:vAlign w:val="center"/>
          </w:tcPr>
          <w:p>
            <w:pPr>
              <w:spacing w:before="80" w:after="80"/>
              <w:jc w:val="center"/>
            </w:pPr>
            <w:r>
              <w:rPr>
                <w:color w:val="212121"/>
                <w:sz w:val="20"/>
              </w:rPr>
              <w:t>Field-normalized citations</w:t>
            </w:r>
          </w:p>
        </w:tc>
        <w:tc>
          <w:tcPr>
            <w:tcW w:w="0" w:type="auto"/>
            <w:vAlign w:val="center"/>
          </w:tcPr>
          <w:p>
            <w:pPr>
              <w:spacing w:before="80" w:after="80"/>
              <w:jc w:val="center"/>
            </w:pPr>
            <w:r>
              <w:rPr>
                <w:color w:val="212121"/>
                <w:sz w:val="20"/>
              </w:rPr>
              <w:t>Cross-field comparison</w:t>
            </w:r>
          </w:p>
        </w:tc>
      </w:tr>
      <w:tr>
        <w:tc>
          <w:tcPr>
            <w:tcW w:w="0" w:type="auto"/>
            <w:vAlign w:val="center"/>
          </w:tcPr>
          <w:p>
            <w:pPr>
              <w:spacing w:before="80" w:after="80"/>
              <w:jc w:val="left"/>
            </w:pPr>
            <w:r>
              <w:rPr>
                <w:color w:val="212121"/>
                <w:sz w:val="20"/>
              </w:rPr>
              <w:t>h-index</w:t>
            </w:r>
          </w:p>
        </w:tc>
        <w:tc>
          <w:tcPr>
            <w:tcW w:w="0" w:type="auto"/>
            <w:vAlign w:val="center"/>
          </w:tcPr>
          <w:p>
            <w:pPr>
              <w:spacing w:before="80" w:after="80"/>
              <w:jc w:val="center"/>
            </w:pPr>
            <w:r>
              <w:rPr>
                <w:color w:val="212121"/>
                <w:sz w:val="20"/>
              </w:rPr>
              <w:t>Various</w:t>
            </w:r>
          </w:p>
        </w:tc>
        <w:tc>
          <w:tcPr>
            <w:tcW w:w="0" w:type="auto"/>
            <w:vAlign w:val="center"/>
          </w:tcPr>
          <w:p>
            <w:pPr>
              <w:spacing w:before="80" w:after="80"/>
              <w:jc w:val="center"/>
            </w:pPr>
            <w:r>
              <w:rPr>
                <w:color w:val="212121"/>
                <w:sz w:val="20"/>
              </w:rPr>
              <w:t>Productivity + impact balance</w:t>
            </w:r>
          </w:p>
        </w:tc>
        <w:tc>
          <w:tcPr>
            <w:tcW w:w="0" w:type="auto"/>
            <w:vAlign w:val="center"/>
          </w:tcPr>
          <w:p>
            <w:pPr>
              <w:spacing w:before="80" w:after="80"/>
              <w:jc w:val="center"/>
            </w:pPr>
            <w:r>
              <w:rPr>
                <w:color w:val="212121"/>
                <w:sz w:val="20"/>
              </w:rPr>
              <w:t>Consistent output</w:t>
            </w:r>
          </w:p>
        </w:tc>
      </w:tr>
    </w:tbl>
    <w:p>
      <w:pPr>
        <w:pStyle w:val="Caption"/>
      </w:pPr>
      <w:r>
        <w:t>Table 2: Comparison of Journal Metrics</w:t>
      </w:r>
    </w:p>
    <w:p>
      <w:pPr>
        <w:pStyle w:val="Heading3"/>
      </w:pPr>
      <w:r>
        <w:t>h-Index</w:t>
      </w:r>
    </w:p>
    <w:p>
      <w:r>
        <w:t>The h-index measures both the productivity and citation impact of a journal. A journal has an h-index of h if it has published h papers that have each been cited at least h times. This metric helps identify journals with consistently impactful research rather than those with a few highly-cited outliers.</w:t>
      </w:r>
    </w:p>
    <w:p>
      <w:pPr>
        <w:pStyle w:val="Heading3"/>
      </w:pPr>
      <w:r>
        <w:t>CiteScore</w:t>
      </w:r>
    </w:p>
    <w:p>
      <w:r>
        <w:t>CiteScore, provided by Scopus, calculates the average citations received per document over a four-year period. Unlike Impact Factor, CiteScore includes all document types (not just articles and reviews) and uses a longer citation window, potentially providing a more comprehensive view of journal impact.</w:t>
      </w:r>
    </w:p>
    <w:p>
      <w:pPr>
        <w:pStyle w:val="Heading3"/>
      </w:pPr>
      <w:r>
        <w:t>Source Normalized Impact per Paper (SNIP)</w:t>
      </w:r>
    </w:p>
    <w:p>
      <w:r>
        <w:t>SNIP measures contextual citation impact by weighting citations based on the total number of citations in a subject field. This allows for fairer comparison between journals in different disciplines where citation practices vary significantly.</w:t>
      </w:r>
    </w:p>
    <w:p>
      <w:pPr>
        <w:pStyle w:val="Heading1"/>
      </w:pPr>
      <w:r>
        <w:t>Chapter 3: Prominent Q1 Journals by Field</w:t>
      </w:r>
    </w:p>
    <w:p>
      <w:r>
        <w:t>The following sections highlight some of the most prestigious Q1 journals across major academic disciplines. Note that journal rankings are updated annually, and researchers should verify current quartile status before submission.</w:t>
      </w:r>
    </w:p>
    <w:p>
      <w:pPr>
        <w:pStyle w:val="Heading2"/>
      </w:pPr>
      <w:r>
        <w:t>3.1 Medicine and Healthcare</w:t>
      </w:r>
    </w:p>
    <w:p>
      <w:r>
        <w:t>Medical journals consistently rank among the highest-impact publications across all disciplines. The following represents a selection of top-tier medical journals:</w:t>
      </w:r>
    </w:p>
    <w:tbl>
      <w:tblPr>
        <w:tblW w:w="5000" w:type="pct"/>
        <w:tblBorders>
          <w:top w:val="single" w:color="1565C0" w:sz="12"/>
          <w:left w:val="nil"/>
          <w:bottom w:val="single" w:color="1565C0" w:sz="12"/>
          <w:right w:val="nil"/>
          <w:insideH w:val="single" w:color="E0E0E0" w:sz="4"/>
          <w:insideV w:val="nil"/>
        </w:tblBorders>
      </w:tblPr>
      <w:tblGrid>
        <w:gridCol w:w="5000"/>
        <w:gridCol w:w="1500"/>
        <w:gridCol w:w="25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Journal Name</w:t>
            </w:r>
          </w:p>
        </w:tc>
        <w:tc>
          <w:tcPr>
            <w:tcW w:w="0" w:type="auto"/>
            <w:tcBorders>
              <w:bottom w:val="single" w:color="1565C0" w:sz="8"/>
            </w:tcBorders>
            <w:shd w:val="clear" w:fill="E3F2FD"/>
            <w:vAlign w:val="center"/>
          </w:tcPr>
          <w:p>
            <w:pPr>
              <w:spacing w:before="100" w:after="100"/>
              <w:jc w:val="center"/>
            </w:pPr>
            <w:r>
              <w:rPr>
                <w:b/>
                <w:color w:val="212121"/>
                <w:sz w:val="21"/>
              </w:rPr>
              <w:t>Impact Factor</w:t>
            </w:r>
          </w:p>
        </w:tc>
        <w:tc>
          <w:tcPr>
            <w:tcW w:w="0" w:type="auto"/>
            <w:tcBorders>
              <w:bottom w:val="single" w:color="1565C0" w:sz="8"/>
            </w:tcBorders>
            <w:shd w:val="clear" w:fill="E3F2FD"/>
            <w:vAlign w:val="center"/>
          </w:tcPr>
          <w:p>
            <w:pPr>
              <w:spacing w:before="100" w:after="100"/>
              <w:jc w:val="center"/>
            </w:pPr>
            <w:r>
              <w:rPr>
                <w:b/>
                <w:color w:val="212121"/>
                <w:sz w:val="21"/>
              </w:rPr>
              <w:t>Category</w:t>
            </w:r>
          </w:p>
        </w:tc>
      </w:tr>
      <w:tr>
        <w:tc>
          <w:tcPr>
            <w:tcW w:w="0" w:type="auto"/>
            <w:vAlign w:val="center"/>
          </w:tcPr>
          <w:p>
            <w:pPr>
              <w:spacing w:before="80" w:after="80"/>
              <w:jc w:val="left"/>
            </w:pPr>
            <w:r>
              <w:rPr>
                <w:color w:val="212121"/>
                <w:sz w:val="20"/>
              </w:rPr>
              <w:t>CA: A Cancer Journal for Clinicians</w:t>
            </w:r>
          </w:p>
        </w:tc>
        <w:tc>
          <w:tcPr>
            <w:tcW w:w="0" w:type="auto"/>
            <w:vAlign w:val="center"/>
          </w:tcPr>
          <w:p>
            <w:pPr>
              <w:spacing w:before="80" w:after="80"/>
              <w:jc w:val="center"/>
            </w:pPr>
            <w:r>
              <w:rPr>
                <w:color w:val="212121"/>
                <w:sz w:val="20"/>
              </w:rPr>
              <w:t>254.7</w:t>
            </w:r>
          </w:p>
        </w:tc>
        <w:tc>
          <w:tcPr>
            <w:tcW w:w="0" w:type="auto"/>
            <w:vAlign w:val="center"/>
          </w:tcPr>
          <w:p>
            <w:pPr>
              <w:spacing w:before="80" w:after="80"/>
              <w:jc w:val="center"/>
            </w:pPr>
            <w:r>
              <w:rPr>
                <w:color w:val="212121"/>
                <w:sz w:val="20"/>
              </w:rPr>
              <w:t>Oncology</w:t>
            </w:r>
          </w:p>
        </w:tc>
      </w:tr>
      <w:tr>
        <w:tc>
          <w:tcPr>
            <w:tcW w:w="0" w:type="auto"/>
            <w:vAlign w:val="center"/>
          </w:tcPr>
          <w:p>
            <w:pPr>
              <w:spacing w:before="80" w:after="80"/>
              <w:jc w:val="left"/>
            </w:pPr>
            <w:r>
              <w:rPr>
                <w:color w:val="212121"/>
                <w:sz w:val="20"/>
              </w:rPr>
              <w:t>The Lancet</w:t>
            </w:r>
          </w:p>
        </w:tc>
        <w:tc>
          <w:tcPr>
            <w:tcW w:w="0" w:type="auto"/>
            <w:vAlign w:val="center"/>
          </w:tcPr>
          <w:p>
            <w:pPr>
              <w:spacing w:before="80" w:after="80"/>
              <w:jc w:val="center"/>
            </w:pPr>
            <w:r>
              <w:rPr>
                <w:color w:val="212121"/>
                <w:sz w:val="20"/>
              </w:rPr>
              <w:t>168.9</w:t>
            </w:r>
          </w:p>
        </w:tc>
        <w:tc>
          <w:tcPr>
            <w:tcW w:w="0" w:type="auto"/>
            <w:vAlign w:val="center"/>
          </w:tcPr>
          <w:p>
            <w:pPr>
              <w:spacing w:before="80" w:after="80"/>
              <w:jc w:val="center"/>
            </w:pPr>
            <w:r>
              <w:rPr>
                <w:color w:val="212121"/>
                <w:sz w:val="20"/>
              </w:rPr>
              <w:t>General Medicine</w:t>
            </w:r>
          </w:p>
        </w:tc>
      </w:tr>
      <w:tr>
        <w:tc>
          <w:tcPr>
            <w:tcW w:w="0" w:type="auto"/>
            <w:vAlign w:val="center"/>
          </w:tcPr>
          <w:p>
            <w:pPr>
              <w:spacing w:before="80" w:after="80"/>
              <w:jc w:val="left"/>
            </w:pPr>
            <w:r>
              <w:rPr>
                <w:color w:val="212121"/>
                <w:sz w:val="20"/>
              </w:rPr>
              <w:t>New England Journal of Medicine</w:t>
            </w:r>
          </w:p>
        </w:tc>
        <w:tc>
          <w:tcPr>
            <w:tcW w:w="0" w:type="auto"/>
            <w:vAlign w:val="center"/>
          </w:tcPr>
          <w:p>
            <w:pPr>
              <w:spacing w:before="80" w:after="80"/>
              <w:jc w:val="center"/>
            </w:pPr>
            <w:r>
              <w:rPr>
                <w:color w:val="212121"/>
                <w:sz w:val="20"/>
              </w:rPr>
              <w:t>158.5</w:t>
            </w:r>
          </w:p>
        </w:tc>
        <w:tc>
          <w:tcPr>
            <w:tcW w:w="0" w:type="auto"/>
            <w:vAlign w:val="center"/>
          </w:tcPr>
          <w:p>
            <w:pPr>
              <w:spacing w:before="80" w:after="80"/>
              <w:jc w:val="center"/>
            </w:pPr>
            <w:r>
              <w:rPr>
                <w:color w:val="212121"/>
                <w:sz w:val="20"/>
              </w:rPr>
              <w:t>General Medicine</w:t>
            </w:r>
          </w:p>
        </w:tc>
      </w:tr>
      <w:tr>
        <w:tc>
          <w:tcPr>
            <w:tcW w:w="0" w:type="auto"/>
            <w:vAlign w:val="center"/>
          </w:tcPr>
          <w:p>
            <w:pPr>
              <w:spacing w:before="80" w:after="80"/>
              <w:jc w:val="left"/>
            </w:pPr>
            <w:r>
              <w:rPr>
                <w:color w:val="212121"/>
                <w:sz w:val="20"/>
              </w:rPr>
              <w:t>JAMA</w:t>
            </w:r>
          </w:p>
        </w:tc>
        <w:tc>
          <w:tcPr>
            <w:tcW w:w="0" w:type="auto"/>
            <w:vAlign w:val="center"/>
          </w:tcPr>
          <w:p>
            <w:pPr>
              <w:spacing w:before="80" w:after="80"/>
              <w:jc w:val="center"/>
            </w:pPr>
            <w:r>
              <w:rPr>
                <w:color w:val="212121"/>
                <w:sz w:val="20"/>
              </w:rPr>
              <w:t>120.7</w:t>
            </w:r>
          </w:p>
        </w:tc>
        <w:tc>
          <w:tcPr>
            <w:tcW w:w="0" w:type="auto"/>
            <w:vAlign w:val="center"/>
          </w:tcPr>
          <w:p>
            <w:pPr>
              <w:spacing w:before="80" w:after="80"/>
              <w:jc w:val="center"/>
            </w:pPr>
            <w:r>
              <w:rPr>
                <w:color w:val="212121"/>
                <w:sz w:val="20"/>
              </w:rPr>
              <w:t>General Medicine</w:t>
            </w:r>
          </w:p>
        </w:tc>
      </w:tr>
      <w:tr>
        <w:tc>
          <w:tcPr>
            <w:tcW w:w="0" w:type="auto"/>
            <w:vAlign w:val="center"/>
          </w:tcPr>
          <w:p>
            <w:pPr>
              <w:spacing w:before="80" w:after="80"/>
              <w:jc w:val="left"/>
            </w:pPr>
            <w:r>
              <w:rPr>
                <w:color w:val="212121"/>
                <w:sz w:val="20"/>
              </w:rPr>
              <w:t>Nature Reviews Drug Discovery</w:t>
            </w:r>
          </w:p>
        </w:tc>
        <w:tc>
          <w:tcPr>
            <w:tcW w:w="0" w:type="auto"/>
            <w:vAlign w:val="center"/>
          </w:tcPr>
          <w:p>
            <w:pPr>
              <w:spacing w:before="80" w:after="80"/>
              <w:jc w:val="center"/>
            </w:pPr>
            <w:r>
              <w:rPr>
                <w:color w:val="212121"/>
                <w:sz w:val="20"/>
              </w:rPr>
              <w:t>120.1</w:t>
            </w:r>
          </w:p>
        </w:tc>
        <w:tc>
          <w:tcPr>
            <w:tcW w:w="0" w:type="auto"/>
            <w:vAlign w:val="center"/>
          </w:tcPr>
          <w:p>
            <w:pPr>
              <w:spacing w:before="80" w:after="80"/>
              <w:jc w:val="center"/>
            </w:pPr>
            <w:r>
              <w:rPr>
                <w:color w:val="212121"/>
                <w:sz w:val="20"/>
              </w:rPr>
              <w:t>Pharmacology</w:t>
            </w:r>
          </w:p>
        </w:tc>
      </w:tr>
      <w:tr>
        <w:tc>
          <w:tcPr>
            <w:tcW w:w="0" w:type="auto"/>
            <w:vAlign w:val="center"/>
          </w:tcPr>
          <w:p>
            <w:pPr>
              <w:spacing w:before="80" w:after="80"/>
              <w:jc w:val="left"/>
            </w:pPr>
            <w:r>
              <w:rPr>
                <w:color w:val="212121"/>
                <w:sz w:val="20"/>
              </w:rPr>
              <w:t>Nature Reviews Molecular Cell Biology</w:t>
            </w:r>
          </w:p>
        </w:tc>
        <w:tc>
          <w:tcPr>
            <w:tcW w:w="0" w:type="auto"/>
            <w:vAlign w:val="center"/>
          </w:tcPr>
          <w:p>
            <w:pPr>
              <w:spacing w:before="80" w:after="80"/>
              <w:jc w:val="center"/>
            </w:pPr>
            <w:r>
              <w:rPr>
                <w:color w:val="212121"/>
                <w:sz w:val="20"/>
              </w:rPr>
              <w:t>112.7</w:t>
            </w:r>
          </w:p>
        </w:tc>
        <w:tc>
          <w:tcPr>
            <w:tcW w:w="0" w:type="auto"/>
            <w:vAlign w:val="center"/>
          </w:tcPr>
          <w:p>
            <w:pPr>
              <w:spacing w:before="80" w:after="80"/>
              <w:jc w:val="center"/>
            </w:pPr>
            <w:r>
              <w:rPr>
                <w:color w:val="212121"/>
                <w:sz w:val="20"/>
              </w:rPr>
              <w:t>Cell Biology</w:t>
            </w:r>
          </w:p>
        </w:tc>
      </w:tr>
      <w:tr>
        <w:tc>
          <w:tcPr>
            <w:tcW w:w="0" w:type="auto"/>
            <w:vAlign w:val="center"/>
          </w:tcPr>
          <w:p>
            <w:pPr>
              <w:spacing w:before="80" w:after="80"/>
              <w:jc w:val="left"/>
            </w:pPr>
            <w:r>
              <w:rPr>
                <w:color w:val="212121"/>
                <w:sz w:val="20"/>
              </w:rPr>
              <w:t>BMJ</w:t>
            </w:r>
          </w:p>
        </w:tc>
        <w:tc>
          <w:tcPr>
            <w:tcW w:w="0" w:type="auto"/>
            <w:vAlign w:val="center"/>
          </w:tcPr>
          <w:p>
            <w:pPr>
              <w:spacing w:before="80" w:after="80"/>
              <w:jc w:val="center"/>
            </w:pPr>
            <w:r>
              <w:rPr>
                <w:color w:val="212121"/>
                <w:sz w:val="20"/>
              </w:rPr>
              <w:t>105.7</w:t>
            </w:r>
          </w:p>
        </w:tc>
        <w:tc>
          <w:tcPr>
            <w:tcW w:w="0" w:type="auto"/>
            <w:vAlign w:val="center"/>
          </w:tcPr>
          <w:p>
            <w:pPr>
              <w:spacing w:before="80" w:after="80"/>
              <w:jc w:val="center"/>
            </w:pPr>
            <w:r>
              <w:rPr>
                <w:color w:val="212121"/>
                <w:sz w:val="20"/>
              </w:rPr>
              <w:t>General Medicine</w:t>
            </w:r>
          </w:p>
        </w:tc>
      </w:tr>
      <w:tr>
        <w:tc>
          <w:tcPr>
            <w:tcW w:w="0" w:type="auto"/>
            <w:vAlign w:val="center"/>
          </w:tcPr>
          <w:p>
            <w:pPr>
              <w:spacing w:before="80" w:after="80"/>
              <w:jc w:val="left"/>
            </w:pPr>
            <w:r>
              <w:rPr>
                <w:color w:val="212121"/>
                <w:sz w:val="20"/>
              </w:rPr>
              <w:t>Nature Reviews Immunology</w:t>
            </w:r>
          </w:p>
        </w:tc>
        <w:tc>
          <w:tcPr>
            <w:tcW w:w="0" w:type="auto"/>
            <w:vAlign w:val="center"/>
          </w:tcPr>
          <w:p>
            <w:pPr>
              <w:spacing w:before="80" w:after="80"/>
              <w:jc w:val="center"/>
            </w:pPr>
            <w:r>
              <w:rPr>
                <w:color w:val="212121"/>
                <w:sz w:val="20"/>
              </w:rPr>
              <w:t>100.3</w:t>
            </w:r>
          </w:p>
        </w:tc>
        <w:tc>
          <w:tcPr>
            <w:tcW w:w="0" w:type="auto"/>
            <w:vAlign w:val="center"/>
          </w:tcPr>
          <w:p>
            <w:pPr>
              <w:spacing w:before="80" w:after="80"/>
              <w:jc w:val="center"/>
            </w:pPr>
            <w:r>
              <w:rPr>
                <w:color w:val="212121"/>
                <w:sz w:val="20"/>
              </w:rPr>
              <w:t>Immunology</w:t>
            </w:r>
          </w:p>
        </w:tc>
      </w:tr>
      <w:tr>
        <w:tc>
          <w:tcPr>
            <w:tcW w:w="0" w:type="auto"/>
            <w:vAlign w:val="center"/>
          </w:tcPr>
          <w:p>
            <w:pPr>
              <w:spacing w:before="80" w:after="80"/>
              <w:jc w:val="left"/>
            </w:pPr>
            <w:r>
              <w:rPr>
                <w:color w:val="212121"/>
                <w:sz w:val="20"/>
              </w:rPr>
              <w:t>World Psychiatry</w:t>
            </w:r>
          </w:p>
        </w:tc>
        <w:tc>
          <w:tcPr>
            <w:tcW w:w="0" w:type="auto"/>
            <w:vAlign w:val="center"/>
          </w:tcPr>
          <w:p>
            <w:pPr>
              <w:spacing w:before="80" w:after="80"/>
              <w:jc w:val="center"/>
            </w:pPr>
            <w:r>
              <w:rPr>
                <w:color w:val="212121"/>
                <w:sz w:val="20"/>
              </w:rPr>
              <w:t>73.3</w:t>
            </w:r>
          </w:p>
        </w:tc>
        <w:tc>
          <w:tcPr>
            <w:tcW w:w="0" w:type="auto"/>
            <w:vAlign w:val="center"/>
          </w:tcPr>
          <w:p>
            <w:pPr>
              <w:spacing w:before="80" w:after="80"/>
              <w:jc w:val="center"/>
            </w:pPr>
            <w:r>
              <w:rPr>
                <w:color w:val="212121"/>
                <w:sz w:val="20"/>
              </w:rPr>
              <w:t>Psychiatry</w:t>
            </w:r>
          </w:p>
        </w:tc>
      </w:tr>
      <w:tr>
        <w:tc>
          <w:tcPr>
            <w:tcW w:w="0" w:type="auto"/>
            <w:vAlign w:val="center"/>
          </w:tcPr>
          <w:p>
            <w:pPr>
              <w:spacing w:before="80" w:after="80"/>
              <w:jc w:val="left"/>
            </w:pPr>
            <w:r>
              <w:rPr>
                <w:color w:val="212121"/>
                <w:sz w:val="20"/>
              </w:rPr>
              <w:t>The Lancet Psychiatry</w:t>
            </w:r>
          </w:p>
        </w:tc>
        <w:tc>
          <w:tcPr>
            <w:tcW w:w="0" w:type="auto"/>
            <w:vAlign w:val="center"/>
          </w:tcPr>
          <w:p>
            <w:pPr>
              <w:spacing w:before="80" w:after="80"/>
              <w:jc w:val="center"/>
            </w:pPr>
            <w:r>
              <w:rPr>
                <w:color w:val="212121"/>
                <w:sz w:val="20"/>
              </w:rPr>
              <w:t>64.3</w:t>
            </w:r>
          </w:p>
        </w:tc>
        <w:tc>
          <w:tcPr>
            <w:tcW w:w="0" w:type="auto"/>
            <w:vAlign w:val="center"/>
          </w:tcPr>
          <w:p>
            <w:pPr>
              <w:spacing w:before="80" w:after="80"/>
              <w:jc w:val="center"/>
            </w:pPr>
            <w:r>
              <w:rPr>
                <w:color w:val="212121"/>
                <w:sz w:val="20"/>
              </w:rPr>
              <w:t>Psychiatry</w:t>
            </w:r>
          </w:p>
        </w:tc>
      </w:tr>
    </w:tbl>
    <w:p>
      <w:pPr>
        <w:pStyle w:val="Caption"/>
      </w:pPr>
      <w:r>
        <w:t>Table 3: Top Q1 Journals in Medicine and Healthcare (2024 Impact Factors)</w:t>
      </w:r>
    </w:p>
    <w:p>
      <w:pPr>
        <w:pStyle w:val="Heading2"/>
      </w:pPr>
      <w:r>
        <w:t>3.2 Computer Science and Engineering</w:t>
      </w:r>
    </w:p>
    <w:p>
      <w:r>
        <w:t>Computer Science has seen tremendous growth in journal impact, particularly in areas like artificial intelligence, machine learning, and cybersecurity:</w:t>
      </w:r>
    </w:p>
    <w:tbl>
      <w:tblPr>
        <w:tblW w:w="5000" w:type="pct"/>
        <w:tblBorders>
          <w:top w:val="single" w:color="1565C0" w:sz="12"/>
          <w:left w:val="nil"/>
          <w:bottom w:val="single" w:color="1565C0" w:sz="12"/>
          <w:right w:val="nil"/>
          <w:insideH w:val="single" w:color="E0E0E0" w:sz="4"/>
          <w:insideV w:val="nil"/>
        </w:tblBorders>
      </w:tblPr>
      <w:tblGrid>
        <w:gridCol w:w="5000"/>
        <w:gridCol w:w="1500"/>
        <w:gridCol w:w="25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Journal Name</w:t>
            </w:r>
          </w:p>
        </w:tc>
        <w:tc>
          <w:tcPr>
            <w:tcW w:w="0" w:type="auto"/>
            <w:tcBorders>
              <w:bottom w:val="single" w:color="1565C0" w:sz="8"/>
            </w:tcBorders>
            <w:shd w:val="clear" w:fill="E3F2FD"/>
            <w:vAlign w:val="center"/>
          </w:tcPr>
          <w:p>
            <w:pPr>
              <w:spacing w:before="100" w:after="100"/>
              <w:jc w:val="center"/>
            </w:pPr>
            <w:r>
              <w:rPr>
                <w:b/>
                <w:color w:val="212121"/>
                <w:sz w:val="21"/>
              </w:rPr>
              <w:t>Impact Factor</w:t>
            </w:r>
          </w:p>
        </w:tc>
        <w:tc>
          <w:tcPr>
            <w:tcW w:w="0" w:type="auto"/>
            <w:tcBorders>
              <w:bottom w:val="single" w:color="1565C0" w:sz="8"/>
            </w:tcBorders>
            <w:shd w:val="clear" w:fill="E3F2FD"/>
            <w:vAlign w:val="center"/>
          </w:tcPr>
          <w:p>
            <w:pPr>
              <w:spacing w:before="100" w:after="100"/>
              <w:jc w:val="center"/>
            </w:pPr>
            <w:r>
              <w:rPr>
                <w:b/>
                <w:color w:val="212121"/>
                <w:sz w:val="21"/>
              </w:rPr>
              <w:t>Category</w:t>
            </w:r>
          </w:p>
        </w:tc>
      </w:tr>
      <w:tr>
        <w:tc>
          <w:tcPr>
            <w:tcW w:w="0" w:type="auto"/>
            <w:vAlign w:val="center"/>
          </w:tcPr>
          <w:p>
            <w:pPr>
              <w:spacing w:before="80" w:after="80"/>
              <w:jc w:val="left"/>
            </w:pPr>
            <w:r>
              <w:rPr>
                <w:color w:val="212121"/>
                <w:sz w:val="20"/>
              </w:rPr>
              <w:t>IEEE Transactions on Pattern Analysis and Machine Intelligence</w:t>
            </w:r>
          </w:p>
        </w:tc>
        <w:tc>
          <w:tcPr>
            <w:tcW w:w="0" w:type="auto"/>
            <w:vAlign w:val="center"/>
          </w:tcPr>
          <w:p>
            <w:pPr>
              <w:spacing w:before="80" w:after="80"/>
              <w:jc w:val="center"/>
            </w:pPr>
            <w:r>
              <w:rPr>
                <w:color w:val="212121"/>
                <w:sz w:val="20"/>
              </w:rPr>
              <w:t>24.3</w:t>
            </w:r>
          </w:p>
        </w:tc>
        <w:tc>
          <w:tcPr>
            <w:tcW w:w="0" w:type="auto"/>
            <w:vAlign w:val="center"/>
          </w:tcPr>
          <w:p>
            <w:pPr>
              <w:spacing w:before="80" w:after="80"/>
              <w:jc w:val="center"/>
            </w:pPr>
            <w:r>
              <w:rPr>
                <w:color w:val="212121"/>
                <w:sz w:val="20"/>
              </w:rPr>
              <w:t>AI/ML</w:t>
            </w:r>
          </w:p>
        </w:tc>
      </w:tr>
      <w:tr>
        <w:tc>
          <w:tcPr>
            <w:tcW w:w="0" w:type="auto"/>
            <w:vAlign w:val="center"/>
          </w:tcPr>
          <w:p>
            <w:pPr>
              <w:spacing w:before="80" w:after="80"/>
              <w:jc w:val="left"/>
            </w:pPr>
            <w:r>
              <w:rPr>
                <w:color w:val="212121"/>
                <w:sz w:val="20"/>
              </w:rPr>
              <w:t>IEEE Transactions on Industrial Electronics</w:t>
            </w:r>
          </w:p>
        </w:tc>
        <w:tc>
          <w:tcPr>
            <w:tcW w:w="0" w:type="auto"/>
            <w:vAlign w:val="center"/>
          </w:tcPr>
          <w:p>
            <w:pPr>
              <w:spacing w:before="80" w:after="80"/>
              <w:jc w:val="center"/>
            </w:pPr>
            <w:r>
              <w:rPr>
                <w:color w:val="212121"/>
                <w:sz w:val="20"/>
              </w:rPr>
              <w:t>7.5</w:t>
            </w:r>
          </w:p>
        </w:tc>
        <w:tc>
          <w:tcPr>
            <w:tcW w:w="0" w:type="auto"/>
            <w:vAlign w:val="center"/>
          </w:tcPr>
          <w:p>
            <w:pPr>
              <w:spacing w:before="80" w:after="80"/>
              <w:jc w:val="center"/>
            </w:pPr>
            <w:r>
              <w:rPr>
                <w:color w:val="212121"/>
                <w:sz w:val="20"/>
              </w:rPr>
              <w:t>Electronics</w:t>
            </w:r>
          </w:p>
        </w:tc>
      </w:tr>
      <w:tr>
        <w:tc>
          <w:tcPr>
            <w:tcW w:w="0" w:type="auto"/>
            <w:vAlign w:val="center"/>
          </w:tcPr>
          <w:p>
            <w:pPr>
              <w:spacing w:before="80" w:after="80"/>
              <w:jc w:val="left"/>
            </w:pPr>
            <w:r>
              <w:rPr>
                <w:color w:val="212121"/>
                <w:sz w:val="20"/>
              </w:rPr>
              <w:t>AI Open</w:t>
            </w:r>
          </w:p>
        </w:tc>
        <w:tc>
          <w:tcPr>
            <w:tcW w:w="0" w:type="auto"/>
            <w:vAlign w:val="center"/>
          </w:tcPr>
          <w:p>
            <w:pPr>
              <w:spacing w:before="80" w:after="80"/>
              <w:jc w:val="center"/>
            </w:pPr>
            <w:r>
              <w:rPr>
                <w:color w:val="212121"/>
                <w:sz w:val="20"/>
              </w:rPr>
              <w:t>19.8</w:t>
            </w:r>
          </w:p>
        </w:tc>
        <w:tc>
          <w:tcPr>
            <w:tcW w:w="0" w:type="auto"/>
            <w:vAlign w:val="center"/>
          </w:tcPr>
          <w:p>
            <w:pPr>
              <w:spacing w:before="80" w:after="80"/>
              <w:jc w:val="center"/>
            </w:pPr>
            <w:r>
              <w:rPr>
                <w:color w:val="212121"/>
                <w:sz w:val="20"/>
              </w:rPr>
              <w:t>Artificial Intelligence</w:t>
            </w:r>
          </w:p>
        </w:tc>
      </w:tr>
      <w:tr>
        <w:tc>
          <w:tcPr>
            <w:tcW w:w="0" w:type="auto"/>
            <w:vAlign w:val="center"/>
          </w:tcPr>
          <w:p>
            <w:pPr>
              <w:spacing w:before="80" w:after="80"/>
              <w:jc w:val="left"/>
            </w:pPr>
            <w:r>
              <w:rPr>
                <w:color w:val="212121"/>
                <w:sz w:val="20"/>
              </w:rPr>
              <w:t>Computer-Aided Civil and Infrastructure Engineering</w:t>
            </w:r>
          </w:p>
        </w:tc>
        <w:tc>
          <w:tcPr>
            <w:tcW w:w="0" w:type="auto"/>
            <w:vAlign w:val="center"/>
          </w:tcPr>
          <w:p>
            <w:pPr>
              <w:spacing w:before="80" w:after="80"/>
              <w:jc w:val="center"/>
            </w:pPr>
            <w:r>
              <w:rPr>
                <w:color w:val="212121"/>
                <w:sz w:val="20"/>
              </w:rPr>
              <w:t>11.6</w:t>
            </w:r>
          </w:p>
        </w:tc>
        <w:tc>
          <w:tcPr>
            <w:tcW w:w="0" w:type="auto"/>
            <w:vAlign w:val="center"/>
          </w:tcPr>
          <w:p>
            <w:pPr>
              <w:spacing w:before="80" w:after="80"/>
              <w:jc w:val="center"/>
            </w:pPr>
            <w:r>
              <w:rPr>
                <w:color w:val="212121"/>
                <w:sz w:val="20"/>
              </w:rPr>
              <w:t>Civil Engineering</w:t>
            </w:r>
          </w:p>
        </w:tc>
      </w:tr>
      <w:tr>
        <w:tc>
          <w:tcPr>
            <w:tcW w:w="0" w:type="auto"/>
            <w:vAlign w:val="center"/>
          </w:tcPr>
          <w:p>
            <w:pPr>
              <w:spacing w:before="80" w:after="80"/>
              <w:jc w:val="left"/>
            </w:pPr>
            <w:r>
              <w:rPr>
                <w:color w:val="212121"/>
                <w:sz w:val="20"/>
              </w:rPr>
              <w:t>Production Planning and Control</w:t>
            </w:r>
          </w:p>
        </w:tc>
        <w:tc>
          <w:tcPr>
            <w:tcW w:w="0" w:type="auto"/>
            <w:vAlign w:val="center"/>
          </w:tcPr>
          <w:p>
            <w:pPr>
              <w:spacing w:before="80" w:after="80"/>
              <w:jc w:val="center"/>
            </w:pPr>
            <w:r>
              <w:rPr>
                <w:color w:val="212121"/>
                <w:sz w:val="20"/>
              </w:rPr>
              <w:t>12.6</w:t>
            </w:r>
          </w:p>
        </w:tc>
        <w:tc>
          <w:tcPr>
            <w:tcW w:w="0" w:type="auto"/>
            <w:vAlign w:val="center"/>
          </w:tcPr>
          <w:p>
            <w:pPr>
              <w:spacing w:before="80" w:after="80"/>
              <w:jc w:val="center"/>
            </w:pPr>
            <w:r>
              <w:rPr>
                <w:color w:val="212121"/>
                <w:sz w:val="20"/>
              </w:rPr>
              <w:t>Operations Research</w:t>
            </w:r>
          </w:p>
        </w:tc>
      </w:tr>
      <w:tr>
        <w:tc>
          <w:tcPr>
            <w:tcW w:w="0" w:type="auto"/>
            <w:vAlign w:val="center"/>
          </w:tcPr>
          <w:p>
            <w:pPr>
              <w:spacing w:before="80" w:after="80"/>
              <w:jc w:val="left"/>
            </w:pPr>
            <w:r>
              <w:rPr>
                <w:color w:val="212121"/>
                <w:sz w:val="20"/>
              </w:rPr>
              <w:t>Sustainable Operations and Computers</w:t>
            </w:r>
          </w:p>
        </w:tc>
        <w:tc>
          <w:tcPr>
            <w:tcW w:w="0" w:type="auto"/>
            <w:vAlign w:val="center"/>
          </w:tcPr>
          <w:p>
            <w:pPr>
              <w:spacing w:before="80" w:after="80"/>
              <w:jc w:val="center"/>
            </w:pPr>
            <w:r>
              <w:rPr>
                <w:color w:val="212121"/>
                <w:sz w:val="20"/>
              </w:rPr>
              <w:t>27.5</w:t>
            </w:r>
          </w:p>
        </w:tc>
        <w:tc>
          <w:tcPr>
            <w:tcW w:w="0" w:type="auto"/>
            <w:vAlign w:val="center"/>
          </w:tcPr>
          <w:p>
            <w:pPr>
              <w:spacing w:before="80" w:after="80"/>
              <w:jc w:val="center"/>
            </w:pPr>
            <w:r>
              <w:rPr>
                <w:color w:val="212121"/>
                <w:sz w:val="20"/>
              </w:rPr>
              <w:t>Sustainability</w:t>
            </w:r>
          </w:p>
        </w:tc>
      </w:tr>
      <w:tr>
        <w:tc>
          <w:tcPr>
            <w:tcW w:w="0" w:type="auto"/>
            <w:vAlign w:val="center"/>
          </w:tcPr>
          <w:p>
            <w:pPr>
              <w:spacing w:before="80" w:after="80"/>
              <w:jc w:val="left"/>
            </w:pPr>
            <w:r>
              <w:rPr>
                <w:color w:val="212121"/>
                <w:sz w:val="20"/>
              </w:rPr>
              <w:t>NAR Genomics and Bioinformatics</w:t>
            </w:r>
          </w:p>
        </w:tc>
        <w:tc>
          <w:tcPr>
            <w:tcW w:w="0" w:type="auto"/>
            <w:vAlign w:val="center"/>
          </w:tcPr>
          <w:p>
            <w:pPr>
              <w:spacing w:before="80" w:after="80"/>
              <w:jc w:val="center"/>
            </w:pPr>
            <w:r>
              <w:rPr>
                <w:color w:val="212121"/>
                <w:sz w:val="20"/>
              </w:rPr>
              <w:t>19.8</w:t>
            </w:r>
          </w:p>
        </w:tc>
        <w:tc>
          <w:tcPr>
            <w:tcW w:w="0" w:type="auto"/>
            <w:vAlign w:val="center"/>
          </w:tcPr>
          <w:p>
            <w:pPr>
              <w:spacing w:before="80" w:after="80"/>
              <w:jc w:val="center"/>
            </w:pPr>
            <w:r>
              <w:rPr>
                <w:color w:val="212121"/>
                <w:sz w:val="20"/>
              </w:rPr>
              <w:t>Bioinformatics</w:t>
            </w:r>
          </w:p>
        </w:tc>
      </w:tr>
      <w:tr>
        <w:tc>
          <w:tcPr>
            <w:tcW w:w="0" w:type="auto"/>
            <w:vAlign w:val="center"/>
          </w:tcPr>
          <w:p>
            <w:pPr>
              <w:spacing w:before="80" w:after="80"/>
              <w:jc w:val="left"/>
            </w:pPr>
            <w:r>
              <w:rPr>
                <w:color w:val="212121"/>
                <w:sz w:val="20"/>
              </w:rPr>
              <w:t>Computational and Structural Biotechnology Journal</w:t>
            </w:r>
          </w:p>
        </w:tc>
        <w:tc>
          <w:tcPr>
            <w:tcW w:w="0" w:type="auto"/>
            <w:vAlign w:val="center"/>
          </w:tcPr>
          <w:p>
            <w:pPr>
              <w:spacing w:before="80" w:after="80"/>
              <w:jc w:val="center"/>
            </w:pPr>
            <w:r>
              <w:rPr>
                <w:color w:val="212121"/>
                <w:sz w:val="20"/>
              </w:rPr>
              <w:t>4.6</w:t>
            </w:r>
          </w:p>
        </w:tc>
        <w:tc>
          <w:tcPr>
            <w:tcW w:w="0" w:type="auto"/>
            <w:vAlign w:val="center"/>
          </w:tcPr>
          <w:p>
            <w:pPr>
              <w:spacing w:before="80" w:after="80"/>
              <w:jc w:val="center"/>
            </w:pPr>
            <w:r>
              <w:rPr>
                <w:color w:val="212121"/>
                <w:sz w:val="20"/>
              </w:rPr>
              <w:t>Biotechnology</w:t>
            </w:r>
          </w:p>
        </w:tc>
      </w:tr>
      <w:tr>
        <w:tc>
          <w:tcPr>
            <w:tcW w:w="0" w:type="auto"/>
            <w:vAlign w:val="center"/>
          </w:tcPr>
          <w:p>
            <w:pPr>
              <w:spacing w:before="80" w:after="80"/>
              <w:jc w:val="left"/>
            </w:pPr>
            <w:r>
              <w:rPr>
                <w:color w:val="212121"/>
                <w:sz w:val="20"/>
              </w:rPr>
              <w:t>ISA Transactions</w:t>
            </w:r>
          </w:p>
        </w:tc>
        <w:tc>
          <w:tcPr>
            <w:tcW w:w="0" w:type="auto"/>
            <w:vAlign w:val="center"/>
          </w:tcPr>
          <w:p>
            <w:pPr>
              <w:spacing w:before="80" w:after="80"/>
              <w:jc w:val="center"/>
            </w:pPr>
            <w:r>
              <w:rPr>
                <w:color w:val="212121"/>
                <w:sz w:val="20"/>
              </w:rPr>
              <w:t>7.3</w:t>
            </w:r>
          </w:p>
        </w:tc>
        <w:tc>
          <w:tcPr>
            <w:tcW w:w="0" w:type="auto"/>
            <w:vAlign w:val="center"/>
          </w:tcPr>
          <w:p>
            <w:pPr>
              <w:spacing w:before="80" w:after="80"/>
              <w:jc w:val="center"/>
            </w:pPr>
            <w:r>
              <w:rPr>
                <w:color w:val="212121"/>
                <w:sz w:val="20"/>
              </w:rPr>
              <w:t>Automation</w:t>
            </w:r>
          </w:p>
        </w:tc>
      </w:tr>
      <w:tr>
        <w:tc>
          <w:tcPr>
            <w:tcW w:w="0" w:type="auto"/>
            <w:vAlign w:val="center"/>
          </w:tcPr>
          <w:p>
            <w:pPr>
              <w:spacing w:before="80" w:after="80"/>
              <w:jc w:val="left"/>
            </w:pPr>
            <w:r>
              <w:rPr>
                <w:color w:val="212121"/>
                <w:sz w:val="20"/>
              </w:rPr>
              <w:t>International Journal of Production Economics</w:t>
            </w:r>
          </w:p>
        </w:tc>
        <w:tc>
          <w:tcPr>
            <w:tcW w:w="0" w:type="auto"/>
            <w:vAlign w:val="center"/>
          </w:tcPr>
          <w:p>
            <w:pPr>
              <w:spacing w:before="80" w:after="80"/>
              <w:jc w:val="center"/>
            </w:pPr>
            <w:r>
              <w:rPr>
                <w:color w:val="212121"/>
                <w:sz w:val="20"/>
              </w:rPr>
              <w:t>12.3</w:t>
            </w:r>
          </w:p>
        </w:tc>
        <w:tc>
          <w:tcPr>
            <w:tcW w:w="0" w:type="auto"/>
            <w:vAlign w:val="center"/>
          </w:tcPr>
          <w:p>
            <w:pPr>
              <w:spacing w:before="80" w:after="80"/>
              <w:jc w:val="center"/>
            </w:pPr>
            <w:r>
              <w:rPr>
                <w:color w:val="212121"/>
                <w:sz w:val="20"/>
              </w:rPr>
              <w:t>Manufacturing</w:t>
            </w:r>
          </w:p>
        </w:tc>
      </w:tr>
    </w:tbl>
    <w:p>
      <w:pPr>
        <w:pStyle w:val="Caption"/>
      </w:pPr>
      <w:r>
        <w:t>Table 4: Top Q1 Journals in Computer Science and Engineering</w:t>
      </w:r>
    </w:p>
    <w:p>
      <w:pPr>
        <w:pStyle w:val="Heading2"/>
      </w:pPr>
      <w:r>
        <w:t>3.3 Social Sciences and Economics</w:t>
      </w:r>
    </w:p>
    <w:p>
      <w:r>
        <w:t>Social science journals, while generally having lower impact factors than STEM fields due to different citation practices, include highly prestigious publications:</w:t>
      </w:r>
    </w:p>
    <w:tbl>
      <w:tblPr>
        <w:tblW w:w="5000" w:type="pct"/>
        <w:tblBorders>
          <w:top w:val="single" w:color="1565C0" w:sz="12"/>
          <w:left w:val="nil"/>
          <w:bottom w:val="single" w:color="1565C0" w:sz="12"/>
          <w:right w:val="nil"/>
          <w:insideH w:val="single" w:color="E0E0E0" w:sz="4"/>
          <w:insideV w:val="nil"/>
        </w:tblBorders>
      </w:tblPr>
      <w:tblGrid>
        <w:gridCol w:w="5000"/>
        <w:gridCol w:w="1500"/>
        <w:gridCol w:w="25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Journal Name</w:t>
            </w:r>
          </w:p>
        </w:tc>
        <w:tc>
          <w:tcPr>
            <w:tcW w:w="0" w:type="auto"/>
            <w:tcBorders>
              <w:bottom w:val="single" w:color="1565C0" w:sz="8"/>
            </w:tcBorders>
            <w:shd w:val="clear" w:fill="E3F2FD"/>
            <w:vAlign w:val="center"/>
          </w:tcPr>
          <w:p>
            <w:pPr>
              <w:spacing w:before="100" w:after="100"/>
              <w:jc w:val="center"/>
            </w:pPr>
            <w:r>
              <w:rPr>
                <w:b/>
                <w:color w:val="212121"/>
                <w:sz w:val="21"/>
              </w:rPr>
              <w:t>Impact Factor</w:t>
            </w:r>
          </w:p>
        </w:tc>
        <w:tc>
          <w:tcPr>
            <w:tcW w:w="0" w:type="auto"/>
            <w:tcBorders>
              <w:bottom w:val="single" w:color="1565C0" w:sz="8"/>
            </w:tcBorders>
            <w:shd w:val="clear" w:fill="E3F2FD"/>
            <w:vAlign w:val="center"/>
          </w:tcPr>
          <w:p>
            <w:pPr>
              <w:spacing w:before="100" w:after="100"/>
              <w:jc w:val="center"/>
            </w:pPr>
            <w:r>
              <w:rPr>
                <w:b/>
                <w:color w:val="212121"/>
                <w:sz w:val="21"/>
              </w:rPr>
              <w:t>Category</w:t>
            </w:r>
          </w:p>
        </w:tc>
      </w:tr>
      <w:tr>
        <w:tc>
          <w:tcPr>
            <w:tcW w:w="0" w:type="auto"/>
            <w:vAlign w:val="center"/>
          </w:tcPr>
          <w:p>
            <w:pPr>
              <w:spacing w:before="80" w:after="80"/>
              <w:jc w:val="left"/>
            </w:pPr>
            <w:r>
              <w:rPr>
                <w:color w:val="212121"/>
                <w:sz w:val="20"/>
              </w:rPr>
              <w:t>Quarterly Journal of Economics</w:t>
            </w:r>
          </w:p>
        </w:tc>
        <w:tc>
          <w:tcPr>
            <w:tcW w:w="0" w:type="auto"/>
            <w:vAlign w:val="center"/>
          </w:tcPr>
          <w:p>
            <w:pPr>
              <w:spacing w:before="80" w:after="80"/>
              <w:jc w:val="center"/>
            </w:pPr>
            <w:r>
              <w:rPr>
                <w:color w:val="212121"/>
                <w:sz w:val="20"/>
              </w:rPr>
              <w:t>11.5</w:t>
            </w:r>
          </w:p>
        </w:tc>
        <w:tc>
          <w:tcPr>
            <w:tcW w:w="0" w:type="auto"/>
            <w:vAlign w:val="center"/>
          </w:tcPr>
          <w:p>
            <w:pPr>
              <w:spacing w:before="80" w:after="80"/>
              <w:jc w:val="center"/>
            </w:pPr>
            <w:r>
              <w:rPr>
                <w:color w:val="212121"/>
                <w:sz w:val="20"/>
              </w:rPr>
              <w:t>Economics</w:t>
            </w:r>
          </w:p>
        </w:tc>
      </w:tr>
      <w:tr>
        <w:tc>
          <w:tcPr>
            <w:tcW w:w="0" w:type="auto"/>
            <w:vAlign w:val="center"/>
          </w:tcPr>
          <w:p>
            <w:pPr>
              <w:spacing w:before="80" w:after="80"/>
              <w:jc w:val="left"/>
            </w:pPr>
            <w:r>
              <w:rPr>
                <w:color w:val="212121"/>
                <w:sz w:val="20"/>
              </w:rPr>
              <w:t>Journal of Political Economy</w:t>
            </w:r>
          </w:p>
        </w:tc>
        <w:tc>
          <w:tcPr>
            <w:tcW w:w="0" w:type="auto"/>
            <w:vAlign w:val="center"/>
          </w:tcPr>
          <w:p>
            <w:pPr>
              <w:spacing w:before="80" w:after="80"/>
              <w:jc w:val="center"/>
            </w:pPr>
            <w:r>
              <w:rPr>
                <w:color w:val="212121"/>
                <w:sz w:val="20"/>
              </w:rPr>
              <w:t>9.8</w:t>
            </w:r>
          </w:p>
        </w:tc>
        <w:tc>
          <w:tcPr>
            <w:tcW w:w="0" w:type="auto"/>
            <w:vAlign w:val="center"/>
          </w:tcPr>
          <w:p>
            <w:pPr>
              <w:spacing w:before="80" w:after="80"/>
              <w:jc w:val="center"/>
            </w:pPr>
            <w:r>
              <w:rPr>
                <w:color w:val="212121"/>
                <w:sz w:val="20"/>
              </w:rPr>
              <w:t>Economics</w:t>
            </w:r>
          </w:p>
        </w:tc>
      </w:tr>
      <w:tr>
        <w:tc>
          <w:tcPr>
            <w:tcW w:w="0" w:type="auto"/>
            <w:vAlign w:val="center"/>
          </w:tcPr>
          <w:p>
            <w:pPr>
              <w:spacing w:before="80" w:after="80"/>
              <w:jc w:val="left"/>
            </w:pPr>
            <w:r>
              <w:rPr>
                <w:color w:val="212121"/>
                <w:sz w:val="20"/>
              </w:rPr>
              <w:t>Review of Economic Studies</w:t>
            </w:r>
          </w:p>
        </w:tc>
        <w:tc>
          <w:tcPr>
            <w:tcW w:w="0" w:type="auto"/>
            <w:vAlign w:val="center"/>
          </w:tcPr>
          <w:p>
            <w:pPr>
              <w:spacing w:before="80" w:after="80"/>
              <w:jc w:val="center"/>
            </w:pPr>
            <w:r>
              <w:rPr>
                <w:color w:val="212121"/>
                <w:sz w:val="20"/>
              </w:rPr>
              <w:t>8.9</w:t>
            </w:r>
          </w:p>
        </w:tc>
        <w:tc>
          <w:tcPr>
            <w:tcW w:w="0" w:type="auto"/>
            <w:vAlign w:val="center"/>
          </w:tcPr>
          <w:p>
            <w:pPr>
              <w:spacing w:before="80" w:after="80"/>
              <w:jc w:val="center"/>
            </w:pPr>
            <w:r>
              <w:rPr>
                <w:color w:val="212121"/>
                <w:sz w:val="20"/>
              </w:rPr>
              <w:t>Economics</w:t>
            </w:r>
          </w:p>
        </w:tc>
      </w:tr>
      <w:tr>
        <w:tc>
          <w:tcPr>
            <w:tcW w:w="0" w:type="auto"/>
            <w:vAlign w:val="center"/>
          </w:tcPr>
          <w:p>
            <w:pPr>
              <w:spacing w:before="80" w:after="80"/>
              <w:jc w:val="left"/>
            </w:pPr>
            <w:r>
              <w:rPr>
                <w:color w:val="212121"/>
                <w:sz w:val="20"/>
              </w:rPr>
              <w:t>American Economic Review</w:t>
            </w:r>
          </w:p>
        </w:tc>
        <w:tc>
          <w:tcPr>
            <w:tcW w:w="0" w:type="auto"/>
            <w:vAlign w:val="center"/>
          </w:tcPr>
          <w:p>
            <w:pPr>
              <w:spacing w:before="80" w:after="80"/>
              <w:jc w:val="center"/>
            </w:pPr>
            <w:r>
              <w:rPr>
                <w:color w:val="212121"/>
                <w:sz w:val="20"/>
              </w:rPr>
              <w:t>8.2</w:t>
            </w:r>
          </w:p>
        </w:tc>
        <w:tc>
          <w:tcPr>
            <w:tcW w:w="0" w:type="auto"/>
            <w:vAlign w:val="center"/>
          </w:tcPr>
          <w:p>
            <w:pPr>
              <w:spacing w:before="80" w:after="80"/>
              <w:jc w:val="center"/>
            </w:pPr>
            <w:r>
              <w:rPr>
                <w:color w:val="212121"/>
                <w:sz w:val="20"/>
              </w:rPr>
              <w:t>Economics</w:t>
            </w:r>
          </w:p>
        </w:tc>
      </w:tr>
      <w:tr>
        <w:tc>
          <w:tcPr>
            <w:tcW w:w="0" w:type="auto"/>
            <w:vAlign w:val="center"/>
          </w:tcPr>
          <w:p>
            <w:pPr>
              <w:spacing w:before="80" w:after="80"/>
              <w:jc w:val="left"/>
            </w:pPr>
            <w:r>
              <w:rPr>
                <w:color w:val="212121"/>
                <w:sz w:val="20"/>
              </w:rPr>
              <w:t>Journal of Marketing Research</w:t>
            </w:r>
          </w:p>
        </w:tc>
        <w:tc>
          <w:tcPr>
            <w:tcW w:w="0" w:type="auto"/>
            <w:vAlign w:val="center"/>
          </w:tcPr>
          <w:p>
            <w:pPr>
              <w:spacing w:before="80" w:after="80"/>
              <w:jc w:val="center"/>
            </w:pPr>
            <w:r>
              <w:rPr>
                <w:color w:val="212121"/>
                <w:sz w:val="20"/>
              </w:rPr>
              <w:t>6.4</w:t>
            </w:r>
          </w:p>
        </w:tc>
        <w:tc>
          <w:tcPr>
            <w:tcW w:w="0" w:type="auto"/>
            <w:vAlign w:val="center"/>
          </w:tcPr>
          <w:p>
            <w:pPr>
              <w:spacing w:before="80" w:after="80"/>
              <w:jc w:val="center"/>
            </w:pPr>
            <w:r>
              <w:rPr>
                <w:color w:val="212121"/>
                <w:sz w:val="20"/>
              </w:rPr>
              <w:t>Marketing</w:t>
            </w:r>
          </w:p>
        </w:tc>
      </w:tr>
      <w:tr>
        <w:tc>
          <w:tcPr>
            <w:tcW w:w="0" w:type="auto"/>
            <w:vAlign w:val="center"/>
          </w:tcPr>
          <w:p>
            <w:pPr>
              <w:spacing w:before="80" w:after="80"/>
              <w:jc w:val="left"/>
            </w:pPr>
            <w:r>
              <w:rPr>
                <w:color w:val="212121"/>
                <w:sz w:val="20"/>
              </w:rPr>
              <w:t>Journal of the Academy of Marketing Science</w:t>
            </w:r>
          </w:p>
        </w:tc>
        <w:tc>
          <w:tcPr>
            <w:tcW w:w="0" w:type="auto"/>
            <w:vAlign w:val="center"/>
          </w:tcPr>
          <w:p>
            <w:pPr>
              <w:spacing w:before="80" w:after="80"/>
              <w:jc w:val="center"/>
            </w:pPr>
            <w:r>
              <w:rPr>
                <w:color w:val="212121"/>
                <w:sz w:val="20"/>
              </w:rPr>
              <w:t>14.9</w:t>
            </w:r>
          </w:p>
        </w:tc>
        <w:tc>
          <w:tcPr>
            <w:tcW w:w="0" w:type="auto"/>
            <w:vAlign w:val="center"/>
          </w:tcPr>
          <w:p>
            <w:pPr>
              <w:spacing w:before="80" w:after="80"/>
              <w:jc w:val="center"/>
            </w:pPr>
            <w:r>
              <w:rPr>
                <w:color w:val="212121"/>
                <w:sz w:val="20"/>
              </w:rPr>
              <w:t>Marketing</w:t>
            </w:r>
          </w:p>
        </w:tc>
      </w:tr>
      <w:tr>
        <w:tc>
          <w:tcPr>
            <w:tcW w:w="0" w:type="auto"/>
            <w:vAlign w:val="center"/>
          </w:tcPr>
          <w:p>
            <w:pPr>
              <w:spacing w:before="80" w:after="80"/>
              <w:jc w:val="left"/>
            </w:pPr>
            <w:r>
              <w:rPr>
                <w:color w:val="212121"/>
                <w:sz w:val="20"/>
              </w:rPr>
              <w:t>Entrepreneurship Theory and Practice</w:t>
            </w:r>
          </w:p>
        </w:tc>
        <w:tc>
          <w:tcPr>
            <w:tcW w:w="0" w:type="auto"/>
            <w:vAlign w:val="center"/>
          </w:tcPr>
          <w:p>
            <w:pPr>
              <w:spacing w:before="80" w:after="80"/>
              <w:jc w:val="center"/>
            </w:pPr>
            <w:r>
              <w:rPr>
                <w:color w:val="212121"/>
                <w:sz w:val="20"/>
              </w:rPr>
              <w:t>13.4</w:t>
            </w:r>
          </w:p>
        </w:tc>
        <w:tc>
          <w:tcPr>
            <w:tcW w:w="0" w:type="auto"/>
            <w:vAlign w:val="center"/>
          </w:tcPr>
          <w:p>
            <w:pPr>
              <w:spacing w:before="80" w:after="80"/>
              <w:jc w:val="center"/>
            </w:pPr>
            <w:r>
              <w:rPr>
                <w:color w:val="212121"/>
                <w:sz w:val="20"/>
              </w:rPr>
              <w:t>Entrepreneurship</w:t>
            </w:r>
          </w:p>
        </w:tc>
      </w:tr>
      <w:tr>
        <w:tc>
          <w:tcPr>
            <w:tcW w:w="0" w:type="auto"/>
            <w:vAlign w:val="center"/>
          </w:tcPr>
          <w:p>
            <w:pPr>
              <w:spacing w:before="80" w:after="80"/>
              <w:jc w:val="left"/>
            </w:pPr>
            <w:r>
              <w:rPr>
                <w:color w:val="212121"/>
                <w:sz w:val="20"/>
              </w:rPr>
              <w:t>Journal of Financial Economics</w:t>
            </w:r>
          </w:p>
        </w:tc>
        <w:tc>
          <w:tcPr>
            <w:tcW w:w="0" w:type="auto"/>
            <w:vAlign w:val="center"/>
          </w:tcPr>
          <w:p>
            <w:pPr>
              <w:spacing w:before="80" w:after="80"/>
              <w:jc w:val="center"/>
            </w:pPr>
            <w:r>
              <w:rPr>
                <w:color w:val="212121"/>
                <w:sz w:val="20"/>
              </w:rPr>
              <w:t>8.2</w:t>
            </w:r>
          </w:p>
        </w:tc>
        <w:tc>
          <w:tcPr>
            <w:tcW w:w="0" w:type="auto"/>
            <w:vAlign w:val="center"/>
          </w:tcPr>
          <w:p>
            <w:pPr>
              <w:spacing w:before="80" w:after="80"/>
              <w:jc w:val="center"/>
            </w:pPr>
            <w:r>
              <w:rPr>
                <w:color w:val="212121"/>
                <w:sz w:val="20"/>
              </w:rPr>
              <w:t>Finance</w:t>
            </w:r>
          </w:p>
        </w:tc>
      </w:tr>
      <w:tr>
        <w:tc>
          <w:tcPr>
            <w:tcW w:w="0" w:type="auto"/>
            <w:vAlign w:val="center"/>
          </w:tcPr>
          <w:p>
            <w:pPr>
              <w:spacing w:before="80" w:after="80"/>
              <w:jc w:val="left"/>
            </w:pPr>
            <w:r>
              <w:rPr>
                <w:color w:val="212121"/>
                <w:sz w:val="20"/>
              </w:rPr>
              <w:t>World Development</w:t>
            </w:r>
          </w:p>
        </w:tc>
        <w:tc>
          <w:tcPr>
            <w:tcW w:w="0" w:type="auto"/>
            <w:vAlign w:val="center"/>
          </w:tcPr>
          <w:p>
            <w:pPr>
              <w:spacing w:before="80" w:after="80"/>
              <w:jc w:val="center"/>
            </w:pPr>
            <w:r>
              <w:rPr>
                <w:color w:val="212121"/>
                <w:sz w:val="20"/>
              </w:rPr>
              <w:t>5.7</w:t>
            </w:r>
          </w:p>
        </w:tc>
        <w:tc>
          <w:tcPr>
            <w:tcW w:w="0" w:type="auto"/>
            <w:vAlign w:val="center"/>
          </w:tcPr>
          <w:p>
            <w:pPr>
              <w:spacing w:before="80" w:after="80"/>
              <w:jc w:val="center"/>
            </w:pPr>
            <w:r>
              <w:rPr>
                <w:color w:val="212121"/>
                <w:sz w:val="20"/>
              </w:rPr>
              <w:t>Development Studies</w:t>
            </w:r>
          </w:p>
        </w:tc>
      </w:tr>
      <w:tr>
        <w:tc>
          <w:tcPr>
            <w:tcW w:w="0" w:type="auto"/>
            <w:vAlign w:val="center"/>
          </w:tcPr>
          <w:p>
            <w:pPr>
              <w:spacing w:before="80" w:after="80"/>
              <w:jc w:val="left"/>
            </w:pPr>
            <w:r>
              <w:rPr>
                <w:color w:val="212121"/>
                <w:sz w:val="20"/>
              </w:rPr>
              <w:t>Journal of Economic Perspectives</w:t>
            </w:r>
          </w:p>
        </w:tc>
        <w:tc>
          <w:tcPr>
            <w:tcW w:w="0" w:type="auto"/>
            <w:vAlign w:val="center"/>
          </w:tcPr>
          <w:p>
            <w:pPr>
              <w:spacing w:before="80" w:after="80"/>
              <w:jc w:val="center"/>
            </w:pPr>
            <w:r>
              <w:rPr>
                <w:color w:val="212121"/>
                <w:sz w:val="20"/>
              </w:rPr>
              <w:t>9.9</w:t>
            </w:r>
          </w:p>
        </w:tc>
        <w:tc>
          <w:tcPr>
            <w:tcW w:w="0" w:type="auto"/>
            <w:vAlign w:val="center"/>
          </w:tcPr>
          <w:p>
            <w:pPr>
              <w:spacing w:before="80" w:after="80"/>
              <w:jc w:val="center"/>
            </w:pPr>
            <w:r>
              <w:rPr>
                <w:color w:val="212121"/>
                <w:sz w:val="20"/>
              </w:rPr>
              <w:t>Economics</w:t>
            </w:r>
          </w:p>
        </w:tc>
      </w:tr>
    </w:tbl>
    <w:p>
      <w:pPr>
        <w:pStyle w:val="Caption"/>
      </w:pPr>
      <w:r>
        <w:t>Table 5: Top Q1 Journals in Social Sciences and Economics</w:t>
      </w:r>
    </w:p>
    <w:p>
      <w:pPr>
        <w:pStyle w:val="Heading2"/>
      </w:pPr>
      <w:r>
        <w:t>3.4 How to Verify Journal Quartile</w:t>
      </w:r>
    </w:p>
    <w:p>
      <w:r>
        <w:t>Researchers can verify a journal's quartile ranking through these authoritative sources:</w:t>
      </w:r>
    </w:p>
    <w:p>
      <w:pPr>
        <w:numPr>
          <w:ilvl w:val="0"/>
          <w:numId w:val="1"/>
        </w:numPr>
        <w:spacing w:after="120"/>
      </w:pPr>
      <w:r>
        <w:rPr>
          <w:b/>
        </w:rPr>
        <w:t>Journal Citation Reports (JCR)</w:t>
      </w:r>
      <w:r>
        <w:t>: Web of Science platform - provides Impact Factor and quartile rankings.</w:t>
      </w:r>
    </w:p>
    <w:p>
      <w:pPr>
        <w:numPr>
          <w:ilvl w:val="0"/>
          <w:numId w:val="1"/>
        </w:numPr>
        <w:spacing w:after="120"/>
      </w:pPr>
      <w:r>
        <w:rPr>
          <w:b/>
        </w:rPr>
        <w:t>SCImago Journal Rank (SJR)</w:t>
      </w:r>
      <w:r>
        <w:t>: Free access at scimagojr.com - provides SJR scores and quartiles.</w:t>
      </w:r>
    </w:p>
    <w:p>
      <w:pPr>
        <w:numPr>
          <w:ilvl w:val="0"/>
          <w:numId w:val="1"/>
        </w:numPr>
        <w:spacing w:after="120"/>
      </w:pPr>
      <w:r>
        <w:rPr>
          <w:b/>
        </w:rPr>
        <w:t>Scopus Sources</w:t>
      </w:r>
      <w:r>
        <w:t>: Direct access through Scopus database - shows CiteScore and quartiles.</w:t>
      </w:r>
    </w:p>
    <w:p>
      <w:pPr>
        <w:numPr>
          <w:ilvl w:val="0"/>
          <w:numId w:val="1"/>
        </w:numPr>
        <w:spacing w:after="120"/>
      </w:pPr>
      <w:r>
        <w:rPr>
          <w:b/>
        </w:rPr>
        <w:t>Google Scholar Metrics</w:t>
      </w:r>
      <w:r>
        <w:t>: scholar.google.com - provides h-index rankings by category.</w:t>
      </w:r>
    </w:p>
    <w:p>
      <w:pPr>
        <w:pStyle w:val="Heading1"/>
      </w:pPr>
      <w:r>
        <w:t>Chapter 4: The Peer Review Process</w:t>
      </w:r>
    </w:p>
    <w:p>
      <w:r>
        <w:t>Understanding the peer review process is crucial for successfully navigating publication in Q1 journals. This chapter provides a comprehensive overview of each stage from submission to final decision.</w:t>
      </w:r>
    </w:p>
    <w:p>
      <w:pPr>
        <w:pStyle w:val="Heading2"/>
      </w:pPr>
      <w:r>
        <w:t>4.1 Editorial Screening (Desk Review)</w:t>
      </w:r>
    </w:p>
    <w:p>
      <w:r>
        <w:t>Before your manuscript reaches peer reviewers, it undergoes an initial screening by the journal editor. This "desk review" typically assesses:</w:t>
      </w:r>
    </w:p>
    <w:p>
      <w:pPr>
        <w:numPr>
          <w:ilvl w:val="0"/>
          <w:numId w:val="2"/>
        </w:numPr>
        <w:spacing w:after="120"/>
      </w:pPr>
      <w:r>
        <w:rPr>
          <w:b/>
        </w:rPr>
        <w:t>Scope Fit</w:t>
      </w:r>
      <w:r>
        <w:t>: Does the manuscript align with the journal's aims and scope?</w:t>
      </w:r>
    </w:p>
    <w:p>
      <w:pPr>
        <w:numPr>
          <w:ilvl w:val="0"/>
          <w:numId w:val="2"/>
        </w:numPr>
        <w:spacing w:after="120"/>
      </w:pPr>
      <w:r>
        <w:rPr>
          <w:b/>
        </w:rPr>
        <w:t>Novelty Assessment</w:t>
      </w:r>
      <w:r>
        <w:t>: Is the contribution significant enough for the journal's standards?</w:t>
      </w:r>
    </w:p>
    <w:p>
      <w:pPr>
        <w:numPr>
          <w:ilvl w:val="0"/>
          <w:numId w:val="2"/>
        </w:numPr>
        <w:spacing w:after="120"/>
      </w:pPr>
      <w:r>
        <w:rPr>
          <w:b/>
        </w:rPr>
        <w:t>Basic Requirements</w:t>
      </w:r>
      <w:r>
        <w:t>: Does the manuscript meet formatting, length, and structural guidelines?</w:t>
      </w:r>
    </w:p>
    <w:p>
      <w:pPr>
        <w:numPr>
          <w:ilvl w:val="0"/>
          <w:numId w:val="2"/>
        </w:numPr>
        <w:spacing w:after="120"/>
      </w:pPr>
      <w:r>
        <w:rPr>
          <w:b/>
        </w:rPr>
        <w:t>Quality Indicators</w:t>
      </w:r>
      <w:r>
        <w:t>: Is the writing clear, professional, and well-organized?</w:t>
      </w:r>
    </w:p>
    <w:p>
      <w:pPr>
        <w:shd w:val="clear" w:fill="FFF3E0"/>
        <w:spacing w:before="200" w:after="200"/>
        <w:ind w:left="360" w:right="360"/>
      </w:pPr>
      <w:r>
        <w:rPr>
          <w:b/>
          <w:color w:val="E65100"/>
        </w:rPr>
        <w:t>Important: </w:t>
      </w:r>
      <w:r>
        <w:t>Approximately 30-50% of submissions are rejected at the desk review stage. A well-prepared cover letter that clearly articulates your contribution can help your manuscript pass this initial screening.</w:t>
      </w:r>
    </w:p>
    <w:p>
      <w:pPr>
        <w:pStyle w:val="Heading2"/>
      </w:pPr>
      <w:r>
        <w:t>4.2 Peer Review Stages</w:t>
      </w:r>
    </w:p>
    <w:p>
      <w:r>
        <w:t>If your manuscript passes editorial screening, it proceeds to formal peer review. The typical stages include:</w:t>
      </w:r>
    </w:p>
    <w:p>
      <w:pPr>
        <w:pStyle w:val="Heading3"/>
      </w:pPr>
      <w:r>
        <w:t>Reviewer Selection</w:t>
      </w:r>
    </w:p>
    <w:p>
      <w:r>
        <w:t>The editor identifies and invites 2-4 expert reviewers with relevant expertise. This process can take 1-4 weeks as editors often need to invite multiple reviewers before securing sufficient commitments.</w:t>
      </w:r>
    </w:p>
    <w:p>
      <w:pPr>
        <w:pStyle w:val="Heading3"/>
      </w:pPr>
      <w:r>
        <w:t>Review Period</w:t>
      </w:r>
    </w:p>
    <w:p>
      <w:r>
        <w:t>Reviewers typically have 2-4 weeks to evaluate the manuscript. During this time, they assess the work's validity, significance, methodology, and presentation. Reviewers submit detailed comments and a recommendation.</w:t>
      </w:r>
    </w:p>
    <w:p>
      <w:pPr>
        <w:pStyle w:val="Heading3"/>
      </w:pPr>
      <w:r>
        <w:t>Editorial Decision</w:t>
      </w:r>
    </w:p>
    <w:p>
      <w:r>
        <w:t>The editor synthesizes reviewer feedback and makes a decision. This may involve additional consultation with reviewers if their opinions diverge significantly.</w:t>
      </w:r>
    </w:p>
    <w:p>
      <w:pPr>
        <w:pStyle w:val="Heading2"/>
      </w:pPr>
      <w:r>
        <w:t>4.3 Editorial Decision Types</w:t>
      </w:r>
    </w:p>
    <w:tbl>
      <w:tblPr>
        <w:tblW w:w="5000" w:type="pct"/>
        <w:tblBorders>
          <w:top w:val="single" w:color="1565C0" w:sz="12"/>
          <w:left w:val="nil"/>
          <w:bottom w:val="single" w:color="1565C0" w:sz="12"/>
          <w:right w:val="nil"/>
          <w:insideH w:val="single" w:color="E0E0E0" w:sz="4"/>
          <w:insideV w:val="nil"/>
        </w:tblBorders>
      </w:tblPr>
      <w:tblGrid>
        <w:gridCol w:w="2500"/>
        <w:gridCol w:w="65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Decision</w:t>
            </w:r>
          </w:p>
        </w:tc>
        <w:tc>
          <w:tcPr>
            <w:tcW w:w="0" w:type="auto"/>
            <w:tcBorders>
              <w:bottom w:val="single" w:color="1565C0" w:sz="8"/>
            </w:tcBorders>
            <w:shd w:val="clear" w:fill="E3F2FD"/>
            <w:vAlign w:val="center"/>
          </w:tcPr>
          <w:p>
            <w:pPr>
              <w:spacing w:before="100" w:after="100"/>
              <w:jc w:val="center"/>
            </w:pPr>
            <w:r>
              <w:rPr>
                <w:b/>
                <w:color w:val="212121"/>
                <w:sz w:val="21"/>
              </w:rPr>
              <w:t>Meaning and Next Steps</w:t>
            </w:r>
          </w:p>
        </w:tc>
      </w:tr>
      <w:tr>
        <w:tc>
          <w:tcPr>
            <w:tcW w:w="0" w:type="auto"/>
            <w:vAlign w:val="center"/>
          </w:tcPr>
          <w:p>
            <w:pPr>
              <w:spacing w:before="80" w:after="80"/>
              <w:jc w:val="left"/>
            </w:pPr>
            <w:r>
              <w:rPr>
                <w:color w:val="212121"/>
                <w:sz w:val="20"/>
              </w:rPr>
              <w:t>Accept</w:t>
            </w:r>
          </w:p>
        </w:tc>
        <w:tc>
          <w:tcPr>
            <w:tcW w:w="0" w:type="auto"/>
            <w:vAlign w:val="center"/>
          </w:tcPr>
          <w:p>
            <w:pPr>
              <w:spacing w:before="80" w:after="80"/>
              <w:jc w:val="center"/>
            </w:pPr>
            <w:r>
              <w:rPr>
                <w:color w:val="212121"/>
                <w:sz w:val="20"/>
              </w:rPr>
              <w:t>Rare on first submission. Manuscript is accepted as-is or with minor proof corrections.</w:t>
            </w:r>
          </w:p>
        </w:tc>
      </w:tr>
      <w:tr>
        <w:tc>
          <w:tcPr>
            <w:tcW w:w="0" w:type="auto"/>
            <w:vAlign w:val="center"/>
          </w:tcPr>
          <w:p>
            <w:pPr>
              <w:spacing w:before="80" w:after="80"/>
              <w:jc w:val="left"/>
            </w:pPr>
            <w:r>
              <w:rPr>
                <w:color w:val="212121"/>
                <w:sz w:val="20"/>
              </w:rPr>
              <w:t>Minor Revision</w:t>
            </w:r>
          </w:p>
        </w:tc>
        <w:tc>
          <w:tcPr>
            <w:tcW w:w="0" w:type="auto"/>
            <w:vAlign w:val="center"/>
          </w:tcPr>
          <w:p>
            <w:pPr>
              <w:spacing w:before="80" w:after="80"/>
              <w:jc w:val="center"/>
            </w:pPr>
            <w:r>
              <w:rPr>
                <w:color w:val="212121"/>
                <w:sz w:val="20"/>
              </w:rPr>
              <w:t>Small changes needed. Address reviewer comments and resubmit for editor review.</w:t>
            </w:r>
          </w:p>
        </w:tc>
      </w:tr>
      <w:tr>
        <w:tc>
          <w:tcPr>
            <w:tcW w:w="0" w:type="auto"/>
            <w:vAlign w:val="center"/>
          </w:tcPr>
          <w:p>
            <w:pPr>
              <w:spacing w:before="80" w:after="80"/>
              <w:jc w:val="left"/>
            </w:pPr>
            <w:r>
              <w:rPr>
                <w:color w:val="212121"/>
                <w:sz w:val="20"/>
              </w:rPr>
              <w:t>Major Revision</w:t>
            </w:r>
          </w:p>
        </w:tc>
        <w:tc>
          <w:tcPr>
            <w:tcW w:w="0" w:type="auto"/>
            <w:vAlign w:val="center"/>
          </w:tcPr>
          <w:p>
            <w:pPr>
              <w:spacing w:before="80" w:after="80"/>
              <w:jc w:val="center"/>
            </w:pPr>
            <w:r>
              <w:rPr>
                <w:color w:val="212121"/>
                <w:sz w:val="20"/>
              </w:rPr>
              <w:t>Substantial changes required. Significant revisions needed; may go back to reviewers.</w:t>
            </w:r>
          </w:p>
        </w:tc>
      </w:tr>
      <w:tr>
        <w:tc>
          <w:tcPr>
            <w:tcW w:w="0" w:type="auto"/>
            <w:vAlign w:val="center"/>
          </w:tcPr>
          <w:p>
            <w:pPr>
              <w:spacing w:before="80" w:after="80"/>
              <w:jc w:val="left"/>
            </w:pPr>
            <w:r>
              <w:rPr>
                <w:color w:val="212121"/>
                <w:sz w:val="20"/>
              </w:rPr>
              <w:t>Reject &amp; Resubmit</w:t>
            </w:r>
          </w:p>
        </w:tc>
        <w:tc>
          <w:tcPr>
            <w:tcW w:w="0" w:type="auto"/>
            <w:vAlign w:val="center"/>
          </w:tcPr>
          <w:p>
            <w:pPr>
              <w:spacing w:before="80" w:after="80"/>
              <w:jc w:val="center"/>
            </w:pPr>
            <w:r>
              <w:rPr>
                <w:color w:val="212121"/>
                <w:sz w:val="20"/>
              </w:rPr>
              <w:t>Paper rejected but invited for new submission after major overhaul.</w:t>
            </w:r>
          </w:p>
        </w:tc>
      </w:tr>
      <w:tr>
        <w:tc>
          <w:tcPr>
            <w:tcW w:w="0" w:type="auto"/>
            <w:vAlign w:val="center"/>
          </w:tcPr>
          <w:p>
            <w:pPr>
              <w:spacing w:before="80" w:after="80"/>
              <w:jc w:val="left"/>
            </w:pPr>
            <w:r>
              <w:rPr>
                <w:color w:val="212121"/>
                <w:sz w:val="20"/>
              </w:rPr>
              <w:t>Reject</w:t>
            </w:r>
          </w:p>
        </w:tc>
        <w:tc>
          <w:tcPr>
            <w:tcW w:w="0" w:type="auto"/>
            <w:vAlign w:val="center"/>
          </w:tcPr>
          <w:p>
            <w:pPr>
              <w:spacing w:before="80" w:after="80"/>
              <w:jc w:val="center"/>
            </w:pPr>
            <w:r>
              <w:rPr>
                <w:color w:val="212121"/>
                <w:sz w:val="20"/>
              </w:rPr>
              <w:t>Paper not suitable for journal. Submit to a different journal.</w:t>
            </w:r>
          </w:p>
        </w:tc>
      </w:tr>
    </w:tbl>
    <w:p>
      <w:pPr>
        <w:pStyle w:val="Caption"/>
      </w:pPr>
      <w:r>
        <w:t>Table 6: Editorial Decision Types and Their Meanings</w:t>
      </w:r>
    </w:p>
    <w:p>
      <w:pPr>
        <w:pStyle w:val="Heading2"/>
      </w:pPr>
      <w:r>
        <w:t>4.4 Timeline Expectations</w:t>
      </w:r>
    </w:p>
    <w:p>
      <w:r>
        <w:t>Publication timelines vary significantly across journals and fields. Typical timeframes include:</w:t>
      </w:r>
    </w:p>
    <w:p>
      <w:pPr>
        <w:numPr>
          <w:ilvl w:val="0"/>
          <w:numId w:val="2"/>
        </w:numPr>
        <w:spacing w:after="120"/>
      </w:pPr>
      <w:r>
        <w:rPr>
          <w:b/>
        </w:rPr>
        <w:t>Fast-Track Journals</w:t>
      </w:r>
      <w:r>
        <w:t>: 2-4 weeks for first decision</w:t>
      </w:r>
    </w:p>
    <w:p>
      <w:pPr>
        <w:numPr>
          <w:ilvl w:val="0"/>
          <w:numId w:val="2"/>
        </w:numPr>
        <w:spacing w:after="120"/>
      </w:pPr>
      <w:r>
        <w:rPr>
          <w:b/>
        </w:rPr>
        <w:t>Standard Journals</w:t>
      </w:r>
      <w:r>
        <w:t>: 6-12 weeks for first decision</w:t>
      </w:r>
    </w:p>
    <w:p>
      <w:pPr>
        <w:numPr>
          <w:ilvl w:val="0"/>
          <w:numId w:val="2"/>
        </w:numPr>
        <w:spacing w:after="120"/>
      </w:pPr>
      <w:r>
        <w:rPr>
          <w:b/>
        </w:rPr>
        <w:t>High-Impact Journals</w:t>
      </w:r>
      <w:r>
        <w:t>: 3-6 months for first decision</w:t>
      </w:r>
    </w:p>
    <w:p>
      <w:r>
        <w:t>After acceptance, production time (copy editing, typesetting, proofing) typically adds 2-8 weeks before online publication.</w:t>
      </w:r>
    </w:p>
    <w:p>
      <w:pPr>
        <w:pStyle w:val="Heading1"/>
      </w:pPr>
      <w:r>
        <w:t>Chapter 5: What Reviewers Look For</w:t>
      </w:r>
    </w:p>
    <w:p>
      <w:r>
        <w:t>Understanding reviewer expectations is essential for crafting manuscripts that succeed in Q1 journals. This chapter reveals the key criteria reviewers use to evaluate submissions.</w:t>
      </w:r>
    </w:p>
    <w:p>
      <w:pPr>
        <w:pStyle w:val="Heading2"/>
      </w:pPr>
      <w:r>
        <w:t>5.1 The Contribution Triangle</w:t>
      </w:r>
    </w:p>
    <w:p>
      <w:r>
        <w:t>Successful Q1 manuscripts typically demonstrate strength across three interconnected dimensions:</w:t>
      </w:r>
    </w:p>
    <w:p>
      <w:pPr>
        <w:pStyle w:val="Heading3"/>
      </w:pPr>
      <w:r>
        <w:t>Novelty</w:t>
      </w:r>
    </w:p>
    <w:p>
      <w:r>
        <w:t>Reviewers seek genuinely new contributions. This could be a new theory, method, dataset, or significant advancement of existing knowledge. Incremental improvements or replications of prior work are less likely to succeed in top-tier journals.</w:t>
      </w:r>
    </w:p>
    <w:p>
      <w:pPr>
        <w:pStyle w:val="Heading3"/>
      </w:pPr>
      <w:r>
        <w:t>Scientific Value</w:t>
      </w:r>
    </w:p>
    <w:p>
      <w:r>
        <w:t>The work should advance the field conceptually, methodologically, or empirically. Reviewers assess whether the findings change how researchers understand or approach the topic.</w:t>
      </w:r>
    </w:p>
    <w:p>
      <w:pPr>
        <w:pStyle w:val="Heading3"/>
      </w:pPr>
      <w:r>
        <w:t>Practical Impact</w:t>
      </w:r>
    </w:p>
    <w:p>
      <w:r>
        <w:t>Q1 journals increasingly value research with real-world implications. Reviewers consider whether findings can inform policy, practice, industry, or society at large.</w:t>
      </w:r>
    </w:p>
    <w:p>
      <w:pPr>
        <w:pStyle w:val="Heading2"/>
      </w:pPr>
      <w:r>
        <w:t>5.2 Key Evaluation Criteria</w:t>
      </w:r>
    </w:p>
    <w:p>
      <w:r>
        <w:t>Reviewers systematically evaluate manuscripts across multiple dimensions:</w:t>
      </w:r>
    </w:p>
    <w:p>
      <w:pPr>
        <w:keepNext/>
      </w:pPr>
      <w:r>
        <w:t>The following diagram illustrates the comprehensive evaluation framework used by peer reviewers:</w:t>
      </w:r>
    </w:p>
    <w:p>
      <w:pPr>
        <w:keepNext/>
        <w:spacing w:before="200" w:after="80"/>
        <w:jc w:val="center"/>
      </w:pPr>
      <w:r>
        <w:drawing>
          <wp:inline distT="0" distB="0" distL="0" distR="0">
            <wp:extent cx="5040000" cy="4404839"/>
            <wp:effectExtent l="0" t="0" r="0" b="0"/>
            <wp:docPr id="10" name="Peer Review Criteria"/>
            <wp:cNvGraphicFramePr>
              <a:graphicFrameLocks noChangeAspect="1"/>
            </wp:cNvGraphicFramePr>
            <a:graphic>
              <a:graphicData uri="http://schemas.openxmlformats.org/drawingml/2006/picture">
                <pic:pic>
                  <pic:nvPicPr>
                    <pic:cNvPr id="0" name="Peer Review Criteria.png"/>
                    <pic:cNvPicPr/>
                  </pic:nvPicPr>
                  <pic:blipFill>
                    <a:blip r:embed="R7bf43ccee5e3440a"/>
                    <a:stretch>
                      <a:fillRect/>
                    </a:stretch>
                  </pic:blipFill>
                  <pic:spPr>
                    <a:xfrm>
                      <a:off x="0" y="0"/>
                      <a:ext cx="5040000" cy="4404839"/>
                    </a:xfrm>
                    <a:prstGeom prst="rect"/>
                  </pic:spPr>
                </pic:pic>
              </a:graphicData>
            </a:graphic>
          </wp:inline>
        </w:drawing>
      </w:r>
    </w:p>
    <w:p>
      <w:pPr>
        <w:pStyle w:val="Caption"/>
      </w:pPr>
      <w:r>
        <w:t>Figure 1: What Peer Reviewers Look For in Q1 Journals</w:t>
      </w:r>
    </w:p>
    <w:p>
      <w:pPr>
        <w:pStyle w:val="Heading2"/>
      </w:pPr>
      <w:r>
        <w:t>5.3 Common Rejection Reasons</w:t>
      </w:r>
    </w:p>
    <w:p>
      <w:r>
        <w:t>Understanding why manuscripts are rejected can help you avoid common pitfalls:</w:t>
      </w:r>
    </w:p>
    <w:p>
      <w:pPr>
        <w:numPr>
          <w:ilvl w:val="0"/>
          <w:numId w:val="2"/>
        </w:numPr>
        <w:spacing w:after="120"/>
      </w:pPr>
      <w:r>
        <w:rPr>
          <w:b/>
        </w:rPr>
        <w:t>Weak or Unclear Novelty</w:t>
      </w:r>
      <w:r>
        <w:t>: The contribution is incremental, unclear, or insufficiently differentiated from prior work.</w:t>
      </w:r>
    </w:p>
    <w:p>
      <w:pPr>
        <w:numPr>
          <w:ilvl w:val="0"/>
          <w:numId w:val="2"/>
        </w:numPr>
        <w:spacing w:after="120"/>
      </w:pPr>
      <w:r>
        <w:rPr>
          <w:b/>
        </w:rPr>
        <w:t>Methodological Concerns</w:t>
      </w:r>
      <w:r>
        <w:t>: Study design flaws, inadequate sample size, inappropriate statistical analysis, or non-reproducible methods.</w:t>
      </w:r>
    </w:p>
    <w:p>
      <w:pPr>
        <w:numPr>
          <w:ilvl w:val="0"/>
          <w:numId w:val="2"/>
        </w:numPr>
        <w:spacing w:after="120"/>
      </w:pPr>
      <w:r>
        <w:rPr>
          <w:b/>
        </w:rPr>
        <w:t>Descriptive Writing</w:t>
      </w:r>
      <w:r>
        <w:t>: Manuscript reads as a report rather than providing insight, interpretation, and analysis.</w:t>
      </w:r>
    </w:p>
    <w:p>
      <w:pPr>
        <w:numPr>
          <w:ilvl w:val="0"/>
          <w:numId w:val="2"/>
        </w:numPr>
        <w:spacing w:after="120"/>
      </w:pPr>
      <w:r>
        <w:rPr>
          <w:b/>
        </w:rPr>
        <w:t>Poor Discussion Section</w:t>
      </w:r>
      <w:r>
        <w:t>: Failure to connect findings to literature, explain mechanisms, or acknowledge limitations.</w:t>
      </w:r>
    </w:p>
    <w:p>
      <w:pPr>
        <w:numPr>
          <w:ilvl w:val="0"/>
          <w:numId w:val="2"/>
        </w:numPr>
        <w:spacing w:after="120"/>
      </w:pPr>
      <w:r>
        <w:rPr>
          <w:b/>
        </w:rPr>
        <w:t>Scope Mismatch</w:t>
      </w:r>
      <w:r>
        <w:t>: Manuscript topic falls outside the journal's focus or doesn't meet its impact threshold.</w:t>
      </w:r>
    </w:p>
    <w:p>
      <w:pPr>
        <w:numPr>
          <w:ilvl w:val="0"/>
          <w:numId w:val="2"/>
        </w:numPr>
        <w:spacing w:after="120"/>
      </w:pPr>
      <w:r>
        <w:rPr>
          <w:b/>
        </w:rPr>
        <w:t>Incomplete Literature Review</w:t>
      </w:r>
      <w:r>
        <w:t>: Missing key references, failure to situate work in current scholarly context.</w:t>
      </w:r>
    </w:p>
    <w:p>
      <w:pPr>
        <w:numPr>
          <w:ilvl w:val="0"/>
          <w:numId w:val="2"/>
        </w:numPr>
        <w:spacing w:after="120"/>
      </w:pPr>
      <w:r>
        <w:rPr>
          <w:b/>
        </w:rPr>
        <w:t>Unclear Contribution</w:t>
      </w:r>
      <w:r>
        <w:t>: Readers cannot easily identify what is new and why it matters.</w:t>
      </w:r>
    </w:p>
    <w:p>
      <w:pPr>
        <w:pStyle w:val="Heading2"/>
      </w:pPr>
      <w:r>
        <w:t>5.4 The Reviewer's Mindset</w:t>
      </w:r>
    </w:p>
    <w:p>
      <w:r>
        <w:t>Experienced reviewers typically approach manuscripts with these questions in mind:</w:t>
      </w:r>
    </w:p>
    <w:p>
      <w:pPr>
        <w:numPr>
          <w:ilvl w:val="0"/>
          <w:numId w:val="1"/>
        </w:numPr>
        <w:spacing w:after="120"/>
      </w:pPr>
      <w:r>
        <w:rPr>
          <w:b/>
        </w:rPr>
        <w:t>Is the research question important and well-defined?</w:t>
      </w:r>
      <w:r>
        <w:t/>
      </w:r>
    </w:p>
    <w:p>
      <w:pPr>
        <w:numPr>
          <w:ilvl w:val="0"/>
          <w:numId w:val="1"/>
        </w:numPr>
        <w:spacing w:after="120"/>
      </w:pPr>
      <w:r>
        <w:rPr>
          <w:b/>
        </w:rPr>
        <w:t>Are the methods appropriate and rigorously applied?</w:t>
      </w:r>
      <w:r>
        <w:t/>
      </w:r>
    </w:p>
    <w:p>
      <w:pPr>
        <w:numPr>
          <w:ilvl w:val="0"/>
          <w:numId w:val="1"/>
        </w:numPr>
        <w:spacing w:after="120"/>
      </w:pPr>
      <w:r>
        <w:rPr>
          <w:b/>
        </w:rPr>
        <w:t>Do the results support the conclusions?</w:t>
      </w:r>
      <w:r>
        <w:t/>
      </w:r>
    </w:p>
    <w:p>
      <w:pPr>
        <w:numPr>
          <w:ilvl w:val="0"/>
          <w:numId w:val="1"/>
        </w:numPr>
        <w:spacing w:after="120"/>
      </w:pPr>
      <w:r>
        <w:rPr>
          <w:b/>
        </w:rPr>
        <w:t>Is the writing clear and well-organized?</w:t>
      </w:r>
      <w:r>
        <w:t/>
      </w:r>
    </w:p>
    <w:p>
      <w:pPr>
        <w:numPr>
          <w:ilvl w:val="0"/>
          <w:numId w:val="1"/>
        </w:numPr>
        <w:spacing w:after="120"/>
      </w:pPr>
      <w:r>
        <w:rPr>
          <w:b/>
        </w:rPr>
        <w:t>Would I cite this paper in my own work?</w:t>
      </w:r>
      <w:r>
        <w:t/>
      </w:r>
    </w:p>
    <w:p>
      <w:pPr>
        <w:numPr>
          <w:ilvl w:val="0"/>
          <w:numId w:val="1"/>
        </w:numPr>
        <w:spacing w:after="120"/>
      </w:pPr>
      <w:r>
        <w:rPr>
          <w:b/>
        </w:rPr>
        <w:t>Does this advance the field significantly?</w:t>
      </w:r>
      <w:r>
        <w:t/>
      </w:r>
    </w:p>
    <w:p>
      <w:pPr>
        <w:pStyle w:val="Heading1"/>
      </w:pPr>
      <w:r>
        <w:t>Chapter 6: Strategies for Publication Success</w:t>
      </w:r>
    </w:p>
    <w:p>
      <w:r>
        <w:t>Successfully publishing in Q1 journals requires strategic planning, careful execution, and persistence. This chapter provides actionable strategies to maximize your chances of acceptance.</w:t>
      </w:r>
    </w:p>
    <w:p>
      <w:pPr>
        <w:pStyle w:val="Heading2"/>
      </w:pPr>
      <w:r>
        <w:t>6.1 Journal Selection Strategy</w:t>
      </w:r>
    </w:p>
    <w:p>
      <w:r>
        <w:t>Selecting the right journal is one of the most critical decisions in the publication process. A strategic approach includes:</w:t>
      </w:r>
    </w:p>
    <w:p>
      <w:pPr>
        <w:keepNext/>
        <w:spacing w:before="200" w:after="80"/>
        <w:jc w:val="center"/>
      </w:pPr>
      <w:r>
        <w:drawing>
          <wp:inline distT="0" distB="0" distL="0" distR="0">
            <wp:extent cx="5040000" cy="3768620"/>
            <wp:effectExtent l="0" t="0" r="0" b="0"/>
            <wp:docPr id="11" name="Journal Selection"/>
            <wp:cNvGraphicFramePr>
              <a:graphicFrameLocks noChangeAspect="1"/>
            </wp:cNvGraphicFramePr>
            <a:graphic>
              <a:graphicData uri="http://schemas.openxmlformats.org/drawingml/2006/picture">
                <pic:pic>
                  <pic:nvPicPr>
                    <pic:cNvPr id="0" name="Journal Selection.png"/>
                    <pic:cNvPicPr/>
                  </pic:nvPicPr>
                  <pic:blipFill>
                    <a:blip r:embed="Rbe6f242c76704c4a"/>
                    <a:stretch>
                      <a:fillRect/>
                    </a:stretch>
                  </pic:blipFill>
                  <pic:spPr>
                    <a:xfrm>
                      <a:off x="0" y="0"/>
                      <a:ext cx="5040000" cy="3768620"/>
                    </a:xfrm>
                    <a:prstGeom prst="rect"/>
                  </pic:spPr>
                </pic:pic>
              </a:graphicData>
            </a:graphic>
          </wp:inline>
        </w:drawing>
      </w:r>
    </w:p>
    <w:p>
      <w:pPr>
        <w:pStyle w:val="Caption"/>
      </w:pPr>
      <w:r>
        <w:t>Figure 2: Journal Selection Strategy for Q1 Publication</w:t>
      </w:r>
    </w:p>
    <w:p>
      <w:pPr>
        <w:pStyle w:val="Heading3"/>
      </w:pPr>
      <w:r>
        <w:t>The Tiered Approach</w:t>
      </w:r>
    </w:p>
    <w:p>
      <w:r>
        <w:t>Many successful researchers use a tiered submission strategy: identify 3-5 target journals ranked by preference, starting with your ideal Q1 journal. If rejected, incorporate feedback and submit to the next tier. This approach balances ambition with efficiency.</w:t>
      </w:r>
    </w:p>
    <w:p>
      <w:pPr>
        <w:pStyle w:val="Heading2"/>
      </w:pPr>
      <w:r>
        <w:t>6.2 Writing for Q1 Journals</w:t>
      </w:r>
    </w:p>
    <w:p>
      <w:pPr>
        <w:pStyle w:val="Heading3"/>
      </w:pPr>
      <w:r>
        <w:t>Crafting a Strong Title</w:t>
      </w:r>
    </w:p>
    <w:p>
      <w:r>
        <w:t>Your title is the first impression reviewers and readers receive. Effective titles are:</w:t>
      </w:r>
    </w:p>
    <w:p>
      <w:pPr>
        <w:numPr>
          <w:ilvl w:val="0"/>
          <w:numId w:val="2"/>
        </w:numPr>
        <w:spacing w:after="120"/>
      </w:pPr>
      <w:r>
        <w:rPr>
          <w:b/>
        </w:rPr>
        <w:t>Concise</w:t>
      </w:r>
      <w:r>
        <w:t>: Aim for 10-15 words maximum</w:t>
      </w:r>
    </w:p>
    <w:p>
      <w:pPr>
        <w:numPr>
          <w:ilvl w:val="0"/>
          <w:numId w:val="2"/>
        </w:numPr>
        <w:spacing w:after="120"/>
      </w:pPr>
      <w:r>
        <w:rPr>
          <w:b/>
        </w:rPr>
        <w:t>Informative</w:t>
      </w:r>
      <w:r>
        <w:t>: Convey the main finding or contribution</w:t>
      </w:r>
    </w:p>
    <w:p>
      <w:pPr>
        <w:numPr>
          <w:ilvl w:val="0"/>
          <w:numId w:val="2"/>
        </w:numPr>
        <w:spacing w:after="120"/>
      </w:pPr>
      <w:r>
        <w:rPr>
          <w:b/>
        </w:rPr>
        <w:t>Specific</w:t>
      </w:r>
      <w:r>
        <w:t>: Avoid vague terms; include key variables or concepts</w:t>
      </w:r>
    </w:p>
    <w:p>
      <w:pPr>
        <w:numPr>
          <w:ilvl w:val="0"/>
          <w:numId w:val="2"/>
        </w:numPr>
        <w:spacing w:after="120"/>
      </w:pPr>
      <w:r>
        <w:rPr>
          <w:b/>
        </w:rPr>
        <w:t>Searchable</w:t>
      </w:r>
      <w:r>
        <w:t>: Include keywords researchers would use to find your work</w:t>
      </w:r>
    </w:p>
    <w:p>
      <w:pPr>
        <w:pStyle w:val="Heading3"/>
      </w:pPr>
      <w:r>
        <w:t>Writing an Effective Abstract</w:t>
      </w:r>
    </w:p>
    <w:p>
      <w:r>
        <w:t>The abstract must stand alone and convince readers (and reviewers) that your paper is worth reading. Structure it using the IMRAD format: Introduction (context and objectives), Methods (approach), Results (key findings), and Discussion (implications). Highlight your contribution explicitly.</w:t>
      </w:r>
    </w:p>
    <w:p>
      <w:pPr>
        <w:pStyle w:val="Heading3"/>
      </w:pPr>
      <w:r>
        <w:t>Structuring the Introduction</w:t>
      </w:r>
    </w:p>
    <w:p>
      <w:r>
        <w:t>The introduction should follow an inverted pyramid structure: start broad with the research context, narrow to the specific problem, identify the research gap your work addresses, state your objectives, and conclude with a brief overview of your approach and key findings.</w:t>
      </w:r>
    </w:p>
    <w:p>
      <w:pPr>
        <w:pStyle w:val="Heading2"/>
      </w:pPr>
      <w:r>
        <w:t>6.3 Responding to Reviewers</w:t>
      </w:r>
    </w:p>
    <w:p>
      <w:r>
        <w:t>Receiving a "Revise and Resubmit" decision is a positive outcome. Here's how to handle revisions effectively:</w:t>
      </w:r>
    </w:p>
    <w:p>
      <w:pPr>
        <w:pStyle w:val="Heading3"/>
      </w:pPr>
      <w:r>
        <w:t>Organize Your Response</w:t>
      </w:r>
    </w:p>
    <w:p>
      <w:r>
        <w:t>Create a comprehensive response document that addresses each reviewer comment point-by-point. Include the original comment, your response, and specific changes made to the manuscript (with line numbers).</w:t>
      </w:r>
    </w:p>
    <w:p>
      <w:pPr>
        <w:pStyle w:val="Heading3"/>
      </w:pPr>
      <w:r>
        <w:t>Be Professional and Grateful</w:t>
      </w:r>
    </w:p>
    <w:p>
      <w:r>
        <w:t>Even when you disagree with reviewer comments, maintain a professional tone. Acknowledge their expertise and the time they've invested. Phrases like "We appreciate this insightful comment" or "Thank you for raising this important point" set a positive tone.</w:t>
      </w:r>
    </w:p>
    <w:p>
      <w:pPr>
        <w:pStyle w:val="Heading3"/>
      </w:pPr>
      <w:r>
        <w:t>Make Changes Visible</w:t>
      </w:r>
    </w:p>
    <w:p>
      <w:r>
        <w:t>Use tracked changes or highlight revisions in your resubmission. This makes it easy for reviewers and editors to verify that you've addressed their concerns. Include a clean version as well if the journal allows it.</w:t>
      </w:r>
    </w:p>
    <w:p>
      <w:pPr>
        <w:pStyle w:val="Heading3"/>
      </w:pPr>
      <w:r>
        <w:t>Know When to Push Back</w:t>
      </w:r>
    </w:p>
    <w:p>
      <w:r>
        <w:t>If a reviewer requests changes that would compromise your work's integrity or are based on a misunderstanding, you can respectfully explain your position. Provide evidence and cite literature to support your stance.</w:t>
      </w:r>
    </w:p>
    <w:p>
      <w:pPr>
        <w:pStyle w:val="Heading1"/>
      </w:pPr>
      <w:r>
        <w:t>Chapter 7: Common Mistakes to Avoid</w:t>
      </w:r>
    </w:p>
    <w:p>
      <w:r>
        <w:t>Learning from others' mistakes can save you valuable time and increase your chances of publication success. This chapter highlights the most common errors researchers make when targeting Q1 journals.</w:t>
      </w:r>
    </w:p>
    <w:p>
      <w:pPr>
        <w:pStyle w:val="Heading2"/>
      </w:pPr>
      <w:r>
        <w:t>Pre-Submission Mistakes</w:t>
      </w:r>
    </w:p>
    <w:p>
      <w:pPr>
        <w:numPr>
          <w:ilvl w:val="0"/>
          <w:numId w:val="2"/>
        </w:numPr>
        <w:spacing w:after="120"/>
      </w:pPr>
      <w:r>
        <w:rPr>
          <w:b/>
        </w:rPr>
        <w:t>Insufficient Journal Research</w:t>
      </w:r>
      <w:r>
        <w:t>: Submitting to a journal without reading its aims, scope, and recent articles. Always verify that your work aligns with the journal's focus and impact level.</w:t>
      </w:r>
    </w:p>
    <w:p>
      <w:pPr>
        <w:numPr>
          <w:ilvl w:val="0"/>
          <w:numId w:val="2"/>
        </w:numPr>
        <w:spacing w:after="120"/>
      </w:pPr>
      <w:r>
        <w:rPr>
          <w:b/>
        </w:rPr>
        <w:t>Ignoring Author Guidelines</w:t>
      </w:r>
      <w:r>
        <w:t>: Failing to follow formatting requirements, word limits, reference styles, or figure specifications. These oversights can lead to immediate desk rejection.</w:t>
      </w:r>
    </w:p>
    <w:p>
      <w:pPr>
        <w:numPr>
          <w:ilvl w:val="0"/>
          <w:numId w:val="2"/>
        </w:numPr>
        <w:spacing w:after="120"/>
      </w:pPr>
      <w:r>
        <w:rPr>
          <w:b/>
        </w:rPr>
        <w:t>Weak Cover Letter</w:t>
      </w:r>
      <w:r>
        <w:t>: Submitting a generic cover letter that doesn't articulate why your work fits the journal and what makes it significant. A compelling cover letter can help your manuscript pass desk review.</w:t>
      </w:r>
    </w:p>
    <w:p>
      <w:pPr>
        <w:numPr>
          <w:ilvl w:val="0"/>
          <w:numId w:val="2"/>
        </w:numPr>
        <w:spacing w:after="120"/>
      </w:pPr>
      <w:r>
        <w:rPr>
          <w:b/>
        </w:rPr>
        <w:t>Poor English Quality</w:t>
      </w:r>
      <w:r>
        <w:t>: Submitting manuscripts with grammatical errors, unclear writing, or awkward phrasing. Consider professional editing services if English is not your first language.</w:t>
      </w:r>
    </w:p>
    <w:p>
      <w:pPr>
        <w:pStyle w:val="Heading2"/>
      </w:pPr>
      <w:r>
        <w:t>Content Mistakes</w:t>
      </w:r>
    </w:p>
    <w:p>
      <w:pPr>
        <w:numPr>
          <w:ilvl w:val="0"/>
          <w:numId w:val="2"/>
        </w:numPr>
        <w:spacing w:after="120"/>
      </w:pPr>
      <w:r>
        <w:rPr>
          <w:b/>
        </w:rPr>
        <w:t>Unclear Research Question</w:t>
      </w:r>
      <w:r>
        <w:t>: Failing to clearly state your research objectives and hypotheses. Reviewers should understand what you're investigating within the first few paragraphs.</w:t>
      </w:r>
    </w:p>
    <w:p>
      <w:pPr>
        <w:numPr>
          <w:ilvl w:val="0"/>
          <w:numId w:val="2"/>
        </w:numPr>
        <w:spacing w:after="120"/>
      </w:pPr>
      <w:r>
        <w:rPr>
          <w:b/>
        </w:rPr>
        <w:t>Inadequate Literature Review</w:t>
      </w:r>
      <w:r>
        <w:t>: Missing key references, especially recent publications in your target journal. Demonstrate that you understand the current state of the field.</w:t>
      </w:r>
    </w:p>
    <w:p>
      <w:pPr>
        <w:numPr>
          <w:ilvl w:val="0"/>
          <w:numId w:val="2"/>
        </w:numPr>
        <w:spacing w:after="120"/>
      </w:pPr>
      <w:r>
        <w:rPr>
          <w:b/>
        </w:rPr>
        <w:t>Insufficient Methodology Detail</w:t>
      </w:r>
      <w:r>
        <w:t>: Not providing enough information for others to replicate your study. Include all relevant details about materials, procedures, and analytical approaches.</w:t>
      </w:r>
    </w:p>
    <w:p>
      <w:pPr>
        <w:numPr>
          <w:ilvl w:val="0"/>
          <w:numId w:val="2"/>
        </w:numPr>
        <w:spacing w:after="120"/>
      </w:pPr>
      <w:r>
        <w:rPr>
          <w:b/>
        </w:rPr>
        <w:t>Overstating Conclusions</w:t>
      </w:r>
      <w:r>
        <w:t>: Making claims that go beyond what your data supports. Be honest about limitations and avoid generalizing beyond your sample or context.</w:t>
      </w:r>
    </w:p>
    <w:p>
      <w:pPr>
        <w:pStyle w:val="Heading2"/>
      </w:pPr>
      <w:r>
        <w:t>Presentation Mistakes</w:t>
      </w:r>
    </w:p>
    <w:p>
      <w:pPr>
        <w:numPr>
          <w:ilvl w:val="0"/>
          <w:numId w:val="2"/>
        </w:numPr>
        <w:spacing w:after="120"/>
      </w:pPr>
      <w:r>
        <w:rPr>
          <w:b/>
        </w:rPr>
        <w:t>Poor Figure Quality</w:t>
      </w:r>
      <w:r>
        <w:t>: Submitting low-resolution images, unclear graphs, or figures without proper labeling. Invest time in creating professional, publication-quality visuals.</w:t>
      </w:r>
    </w:p>
    <w:p>
      <w:pPr>
        <w:numPr>
          <w:ilvl w:val="0"/>
          <w:numId w:val="2"/>
        </w:numPr>
        <w:spacing w:after="120"/>
      </w:pPr>
      <w:r>
        <w:rPr>
          <w:b/>
        </w:rPr>
        <w:t>Disorganized Structure</w:t>
      </w:r>
      <w:r>
        <w:t>: Presenting information in a confusing or illogical order. Follow the IMRAD structure and ensure smooth transitions between sections.</w:t>
      </w:r>
    </w:p>
    <w:p>
      <w:pPr>
        <w:numPr>
          <w:ilvl w:val="0"/>
          <w:numId w:val="2"/>
        </w:numPr>
        <w:spacing w:after="120"/>
      </w:pPr>
      <w:r>
        <w:rPr>
          <w:b/>
        </w:rPr>
        <w:t>Excessive Jargon</w:t>
      </w:r>
      <w:r>
        <w:t>: Using unnecessary technical language that makes your work inaccessible. Write clearly enough that researchers in related fields can understand your contribution.</w:t>
      </w:r>
    </w:p>
    <w:p>
      <w:pPr>
        <w:pStyle w:val="Heading2"/>
      </w:pPr>
      <w:r>
        <w:t>Post-Submission Mistakes</w:t>
      </w:r>
    </w:p>
    <w:p>
      <w:pPr>
        <w:numPr>
          <w:ilvl w:val="0"/>
          <w:numId w:val="2"/>
        </w:numPr>
        <w:spacing w:after="120"/>
      </w:pPr>
      <w:r>
        <w:rPr>
          <w:b/>
        </w:rPr>
        <w:t>Submitting to Multiple Journals Simultaneously</w:t>
      </w:r>
      <w:r>
        <w:t>: This is considered unethical and can result in blacklisting. Wait for a decision from one journal before submitting to another.</w:t>
      </w:r>
    </w:p>
    <w:p>
      <w:pPr>
        <w:numPr>
          <w:ilvl w:val="0"/>
          <w:numId w:val="2"/>
        </w:numPr>
        <w:spacing w:after="120"/>
      </w:pPr>
      <w:r>
        <w:rPr>
          <w:b/>
        </w:rPr>
        <w:t>Impatient Follow-ups</w:t>
      </w:r>
      <w:r>
        <w:t>: Contacting editors too frequently about your submission status. Respect the review timeline, which is often stated in the journal's guidelines.</w:t>
      </w:r>
    </w:p>
    <w:p>
      <w:pPr>
        <w:numPr>
          <w:ilvl w:val="0"/>
          <w:numId w:val="2"/>
        </w:numPr>
        <w:spacing w:after="120"/>
      </w:pPr>
      <w:r>
        <w:rPr>
          <w:b/>
        </w:rPr>
        <w:t>Defensive Responses to Reviewers</w:t>
      </w:r>
      <w:r>
        <w:t>: Reacting emotionally to criticism or dismissing reviewer comments. Even harsh feedback can improve your manuscript if approached constructively.</w:t>
      </w:r>
    </w:p>
    <w:p>
      <w:pPr>
        <w:pStyle w:val="Heading2"/>
      </w:pPr>
      <w:r>
        <w:t>Quick Reference: Submission Checklist</w:t>
      </w:r>
    </w:p>
    <w:tbl>
      <w:tblPr>
        <w:tblW w:w="5000" w:type="pct"/>
        <w:tblBorders>
          <w:top w:val="single" w:color="1565C0" w:sz="12"/>
          <w:left w:val="nil"/>
          <w:bottom w:val="single" w:color="1565C0" w:sz="12"/>
          <w:right w:val="nil"/>
          <w:insideH w:val="single" w:color="E0E0E0" w:sz="4"/>
          <w:insideV w:val="nil"/>
        </w:tblBorders>
      </w:tblPr>
      <w:tblGrid>
        <w:gridCol w:w="6000"/>
        <w:gridCol w:w="3000"/>
      </w:tblGrid>
      <w:tr>
        <w:trPr>
          <w:tblHeader/>
        </w:trPr>
        <w:tc>
          <w:tcPr>
            <w:tcW w:w="0" w:type="auto"/>
            <w:tcBorders>
              <w:bottom w:val="single" w:color="1565C0" w:sz="8"/>
            </w:tcBorders>
            <w:shd w:val="clear" w:fill="E3F2FD"/>
            <w:vAlign w:val="center"/>
          </w:tcPr>
          <w:p>
            <w:pPr>
              <w:spacing w:before="100" w:after="100"/>
              <w:jc w:val="center"/>
            </w:pPr>
            <w:r>
              <w:rPr>
                <w:b/>
                <w:color w:val="212121"/>
                <w:sz w:val="21"/>
              </w:rPr>
              <w:t>Checklist Item</w:t>
            </w:r>
          </w:p>
        </w:tc>
        <w:tc>
          <w:tcPr>
            <w:tcW w:w="0" w:type="auto"/>
            <w:tcBorders>
              <w:bottom w:val="single" w:color="1565C0" w:sz="8"/>
            </w:tcBorders>
            <w:shd w:val="clear" w:fill="E3F2FD"/>
            <w:vAlign w:val="center"/>
          </w:tcPr>
          <w:p>
            <w:pPr>
              <w:spacing w:before="100" w:after="100"/>
              <w:jc w:val="center"/>
            </w:pPr>
            <w:r>
              <w:rPr>
                <w:b/>
                <w:color w:val="212121"/>
                <w:sz w:val="21"/>
              </w:rPr>
              <w:t>Status</w:t>
            </w:r>
          </w:p>
        </w:tc>
      </w:tr>
      <w:tr>
        <w:tc>
          <w:tcPr>
            <w:tcW w:w="0" w:type="auto"/>
            <w:vAlign w:val="center"/>
          </w:tcPr>
          <w:p>
            <w:pPr>
              <w:spacing w:before="80" w:after="80"/>
              <w:jc w:val="left"/>
            </w:pPr>
            <w:r>
              <w:rPr>
                <w:color w:val="212121"/>
                <w:sz w:val="20"/>
              </w:rPr>
              <w:t>Read and followed all author guidelines</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Verified journal scope and recent articles</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Manuscript within word limits</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All figures are high resolution (300+ DPI)</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References formatted correctly</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Cover letter customized for this journal</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Grammar and spelling checked</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All co-authors have reviewed and approved</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Conflict of interest statement included</w:t>
            </w:r>
          </w:p>
        </w:tc>
        <w:tc>
          <w:tcPr>
            <w:tcW w:w="0" w:type="auto"/>
            <w:vAlign w:val="center"/>
          </w:tcPr>
          <w:p>
            <w:pPr>
              <w:spacing w:before="80" w:after="80"/>
              <w:jc w:val="center"/>
            </w:pPr>
            <w:r>
              <w:rPr>
                <w:color w:val="212121"/>
                <w:sz w:val="20"/>
              </w:rPr>
              <w:t>[ ]</w:t>
            </w:r>
          </w:p>
        </w:tc>
      </w:tr>
      <w:tr>
        <w:tc>
          <w:tcPr>
            <w:tcW w:w="0" w:type="auto"/>
            <w:vAlign w:val="center"/>
          </w:tcPr>
          <w:p>
            <w:pPr>
              <w:spacing w:before="80" w:after="80"/>
              <w:jc w:val="left"/>
            </w:pPr>
            <w:r>
              <w:rPr>
                <w:color w:val="212121"/>
                <w:sz w:val="20"/>
              </w:rPr>
              <w:t>Data availability statement included</w:t>
            </w:r>
          </w:p>
        </w:tc>
        <w:tc>
          <w:tcPr>
            <w:tcW w:w="0" w:type="auto"/>
            <w:vAlign w:val="center"/>
          </w:tcPr>
          <w:p>
            <w:pPr>
              <w:spacing w:before="80" w:after="80"/>
              <w:jc w:val="center"/>
            </w:pPr>
            <w:r>
              <w:rPr>
                <w:color w:val="212121"/>
                <w:sz w:val="20"/>
              </w:rPr>
              <w:t>[ ]</w:t>
            </w:r>
          </w:p>
        </w:tc>
      </w:tr>
    </w:tbl>
    <w:p>
      <w:pPr>
        <w:pStyle w:val="Caption"/>
      </w:pPr>
      <w:r>
        <w:t>Table 7: Pre-Submission Checklist for Q1 Journals</w:t>
      </w:r>
    </w:p>
    <w:p>
      <w:pPr>
        <w:pStyle w:val="Heading1"/>
      </w:pPr>
      <w:r>
        <w:t>Chapter 8: Resources and Tools</w:t>
      </w:r>
    </w:p>
    <w:p>
      <w:r>
        <w:t>A variety of tools and resources can support your journey to publishing in Q1 journals. This chapter provides a curated list of valuable resources.</w:t>
      </w:r>
    </w:p>
    <w:p>
      <w:pPr>
        <w:pStyle w:val="Heading2"/>
      </w:pPr>
      <w:r>
        <w:t>8.1 Journal Selection Tools</w:t>
      </w:r>
    </w:p>
    <w:p>
      <w:pPr>
        <w:pStyle w:val="Heading3"/>
      </w:pPr>
      <w:r>
        <w:t>Journal Finder Tools</w:t>
      </w:r>
    </w:p>
    <w:p>
      <w:pPr>
        <w:numPr>
          <w:ilvl w:val="0"/>
          <w:numId w:val="2"/>
        </w:numPr>
        <w:spacing w:after="120"/>
      </w:pPr>
      <w:r>
        <w:rPr>
          <w:b/>
        </w:rPr>
        <w:t>Elsevier Journal Finder</w:t>
      </w:r>
      <w:r>
        <w:t>: journalfinder.elsevier.com - Matches your abstract to suitable Elsevier journals</w:t>
      </w:r>
    </w:p>
    <w:p>
      <w:pPr>
        <w:numPr>
          <w:ilvl w:val="0"/>
          <w:numId w:val="2"/>
        </w:numPr>
        <w:spacing w:after="120"/>
      </w:pPr>
      <w:r>
        <w:rPr>
          <w:b/>
        </w:rPr>
        <w:t>Springer Journal Suggester</w:t>
      </w:r>
      <w:r>
        <w:t>: journalsuggester.springer.com - Recommends Springer journals based on your manuscript</w:t>
      </w:r>
    </w:p>
    <w:p>
      <w:pPr>
        <w:numPr>
          <w:ilvl w:val="0"/>
          <w:numId w:val="2"/>
        </w:numPr>
        <w:spacing w:after="120"/>
      </w:pPr>
      <w:r>
        <w:rPr>
          <w:b/>
        </w:rPr>
        <w:t>Wiley Journal Finder</w:t>
      </w:r>
      <w:r>
        <w:t>: wiley.com - Helps identify appropriate Wiley journals</w:t>
      </w:r>
    </w:p>
    <w:p>
      <w:pPr>
        <w:numPr>
          <w:ilvl w:val="0"/>
          <w:numId w:val="2"/>
        </w:numPr>
        <w:spacing w:after="120"/>
      </w:pPr>
      <w:r>
        <w:rPr>
          <w:b/>
        </w:rPr>
        <w:t>JournalGuide</w:t>
      </w:r>
      <w:r>
        <w:t>: journalguide.com - Free tool for finding journals across publishers</w:t>
      </w:r>
    </w:p>
    <w:p>
      <w:pPr>
        <w:numPr>
          <w:ilvl w:val="0"/>
          <w:numId w:val="2"/>
        </w:numPr>
        <w:spacing w:after="120"/>
      </w:pPr>
      <w:r>
        <w:rPr>
          <w:b/>
        </w:rPr>
        <w:t>Jane (Journal/Author Name Estimator)</w:t>
      </w:r>
      <w:r>
        <w:t>: biosemantics.org/jane - Helps find the best journal for your paper</w:t>
      </w:r>
    </w:p>
    <w:p>
      <w:pPr>
        <w:pStyle w:val="Heading3"/>
      </w:pPr>
      <w:r>
        <w:t>Journal Metrics Databases</w:t>
      </w:r>
    </w:p>
    <w:p>
      <w:pPr>
        <w:numPr>
          <w:ilvl w:val="0"/>
          <w:numId w:val="2"/>
        </w:numPr>
        <w:spacing w:after="120"/>
      </w:pPr>
      <w:r>
        <w:rPr>
          <w:b/>
        </w:rPr>
        <w:t>Journal Citation Reports</w:t>
      </w:r>
      <w:r>
        <w:t>: Access through Web of Science - Official Impact Factor source</w:t>
      </w:r>
    </w:p>
    <w:p>
      <w:pPr>
        <w:numPr>
          <w:ilvl w:val="0"/>
          <w:numId w:val="2"/>
        </w:numPr>
        <w:spacing w:after="120"/>
      </w:pPr>
      <w:r>
        <w:rPr>
          <w:b/>
        </w:rPr>
        <w:t>SCImago Journal Rank</w:t>
      </w:r>
      <w:r>
        <w:t>: scimagojr.com - Free SJR and quartile information</w:t>
      </w:r>
    </w:p>
    <w:p>
      <w:pPr>
        <w:numPr>
          <w:ilvl w:val="0"/>
          <w:numId w:val="2"/>
        </w:numPr>
        <w:spacing w:after="120"/>
      </w:pPr>
      <w:r>
        <w:rPr>
          <w:b/>
        </w:rPr>
        <w:t>Scopus Sources</w:t>
      </w:r>
      <w:r>
        <w:t>: Access through Scopus - CiteScore and SNIP metrics</w:t>
      </w:r>
    </w:p>
    <w:p>
      <w:pPr>
        <w:numPr>
          <w:ilvl w:val="0"/>
          <w:numId w:val="2"/>
        </w:numPr>
        <w:spacing w:after="120"/>
      </w:pPr>
      <w:r>
        <w:rPr>
          <w:b/>
        </w:rPr>
        <w:t>Google Scholar Metrics</w:t>
      </w:r>
      <w:r>
        <w:t>: scholar.google.com - h-index rankings by field</w:t>
      </w:r>
    </w:p>
    <w:p>
      <w:pPr>
        <w:pStyle w:val="Heading2"/>
      </w:pPr>
      <w:r>
        <w:t>8.2 Writing and Editing Resources</w:t>
      </w:r>
    </w:p>
    <w:p>
      <w:pPr>
        <w:pStyle w:val="Heading3"/>
      </w:pPr>
      <w:r>
        <w:t>Grammar and Style Checkers</w:t>
      </w:r>
    </w:p>
    <w:p>
      <w:pPr>
        <w:numPr>
          <w:ilvl w:val="0"/>
          <w:numId w:val="2"/>
        </w:numPr>
        <w:spacing w:after="120"/>
      </w:pPr>
      <w:r>
        <w:rPr>
          <w:b/>
        </w:rPr>
        <w:t>Grammarly</w:t>
      </w:r>
      <w:r>
        <w:t>: grammarly.com - AI-powered writing assistance</w:t>
      </w:r>
    </w:p>
    <w:p>
      <w:pPr>
        <w:numPr>
          <w:ilvl w:val="0"/>
          <w:numId w:val="2"/>
        </w:numPr>
        <w:spacing w:after="120"/>
      </w:pPr>
      <w:r>
        <w:rPr>
          <w:b/>
        </w:rPr>
        <w:t>Hemingway Editor</w:t>
      </w:r>
      <w:r>
        <w:t>: hemingwayapp.com - Improves readability</w:t>
      </w:r>
    </w:p>
    <w:p>
      <w:pPr>
        <w:numPr>
          <w:ilvl w:val="0"/>
          <w:numId w:val="2"/>
        </w:numPr>
        <w:spacing w:after="120"/>
      </w:pPr>
      <w:r>
        <w:rPr>
          <w:b/>
        </w:rPr>
        <w:t>Writefull</w:t>
      </w:r>
      <w:r>
        <w:t>: writefull.com - Academic writing feedback</w:t>
      </w:r>
    </w:p>
    <w:p>
      <w:pPr>
        <w:pStyle w:val="Heading3"/>
      </w:pPr>
      <w:r>
        <w:t>Reference Management</w:t>
      </w:r>
    </w:p>
    <w:p>
      <w:pPr>
        <w:numPr>
          <w:ilvl w:val="0"/>
          <w:numId w:val="2"/>
        </w:numPr>
        <w:spacing w:after="120"/>
      </w:pPr>
      <w:r>
        <w:rPr>
          <w:b/>
        </w:rPr>
        <w:t>Zotero</w:t>
      </w:r>
      <w:r>
        <w:t>: zotero.org - Free, open-source reference manager</w:t>
      </w:r>
    </w:p>
    <w:p>
      <w:pPr>
        <w:numPr>
          <w:ilvl w:val="0"/>
          <w:numId w:val="2"/>
        </w:numPr>
        <w:spacing w:after="120"/>
      </w:pPr>
      <w:r>
        <w:rPr>
          <w:b/>
        </w:rPr>
        <w:t>Mendeley</w:t>
      </w:r>
      <w:r>
        <w:t>: mendeley.com - Reference manager with collaboration features</w:t>
      </w:r>
    </w:p>
    <w:p>
      <w:pPr>
        <w:numPr>
          <w:ilvl w:val="0"/>
          <w:numId w:val="2"/>
        </w:numPr>
        <w:spacing w:after="120"/>
      </w:pPr>
      <w:r>
        <w:rPr>
          <w:b/>
        </w:rPr>
        <w:t>EndNote</w:t>
      </w:r>
      <w:r>
        <w:t>: endnote.com - Professional reference management</w:t>
      </w:r>
    </w:p>
    <w:p>
      <w:pPr>
        <w:numPr>
          <w:ilvl w:val="0"/>
          <w:numId w:val="2"/>
        </w:numPr>
        <w:spacing w:after="120"/>
      </w:pPr>
      <w:r>
        <w:rPr>
          <w:b/>
        </w:rPr>
        <w:t>Paperpile</w:t>
      </w:r>
      <w:r>
        <w:t>: paperpile.com - Modern reference manager for Google Docs</w:t>
      </w:r>
    </w:p>
    <w:p>
      <w:pPr>
        <w:pStyle w:val="Heading2"/>
      </w:pPr>
      <w:r>
        <w:t>8.3 Plagiarism Detection</w:t>
      </w:r>
    </w:p>
    <w:p>
      <w:pPr>
        <w:numPr>
          <w:ilvl w:val="0"/>
          <w:numId w:val="2"/>
        </w:numPr>
        <w:spacing w:after="120"/>
      </w:pPr>
      <w:r>
        <w:rPr>
          <w:b/>
        </w:rPr>
        <w:t>Turnitin</w:t>
      </w:r>
      <w:r>
        <w:t>: turnitin.com - Widely used in academic institutions</w:t>
      </w:r>
    </w:p>
    <w:p>
      <w:pPr>
        <w:numPr>
          <w:ilvl w:val="0"/>
          <w:numId w:val="2"/>
        </w:numPr>
        <w:spacing w:after="120"/>
      </w:pPr>
      <w:r>
        <w:rPr>
          <w:b/>
        </w:rPr>
        <w:t>iThenticate</w:t>
      </w:r>
      <w:r>
        <w:t>: ithenticate.com - Professional plagiarism checker</w:t>
      </w:r>
    </w:p>
    <w:p>
      <w:pPr>
        <w:numPr>
          <w:ilvl w:val="0"/>
          <w:numId w:val="2"/>
        </w:numPr>
        <w:spacing w:after="120"/>
      </w:pPr>
      <w:r>
        <w:rPr>
          <w:b/>
        </w:rPr>
        <w:t>Grammarly Plagiarism Checker</w:t>
      </w:r>
      <w:r>
        <w:t>: grammarly.com/plagiarism-checker</w:t>
      </w:r>
    </w:p>
    <w:p>
      <w:pPr>
        <w:pStyle w:val="Heading2"/>
      </w:pPr>
      <w:r>
        <w:t>8.4 Research Impact Tracking</w:t>
      </w:r>
    </w:p>
    <w:p>
      <w:pPr>
        <w:numPr>
          <w:ilvl w:val="0"/>
          <w:numId w:val="2"/>
        </w:numPr>
        <w:spacing w:after="120"/>
      </w:pPr>
      <w:r>
        <w:rPr>
          <w:b/>
        </w:rPr>
        <w:t>Google Scholar Profile</w:t>
      </w:r>
      <w:r>
        <w:t>: scholar.google.com - Track citations and h-index</w:t>
      </w:r>
    </w:p>
    <w:p>
      <w:pPr>
        <w:numPr>
          <w:ilvl w:val="0"/>
          <w:numId w:val="2"/>
        </w:numPr>
        <w:spacing w:after="120"/>
      </w:pPr>
      <w:r>
        <w:rPr>
          <w:b/>
        </w:rPr>
        <w:t>ResearchGate</w:t>
      </w:r>
      <w:r>
        <w:t>: researchgate.net - Monitor article metrics and engagement</w:t>
      </w:r>
    </w:p>
    <w:p>
      <w:pPr>
        <w:numPr>
          <w:ilvl w:val="0"/>
          <w:numId w:val="2"/>
        </w:numPr>
        <w:spacing w:after="120"/>
      </w:pPr>
      <w:r>
        <w:rPr>
          <w:b/>
        </w:rPr>
        <w:t>Altmetric</w:t>
      </w:r>
      <w:r>
        <w:t>: altmetric.com - Track online attention to research</w:t>
      </w:r>
    </w:p>
    <w:p>
      <w:pPr>
        <w:pStyle w:val="Heading2"/>
      </w:pPr>
      <w:r>
        <w:t>8.5 Professional Editing Services</w:t>
      </w:r>
    </w:p>
    <w:p>
      <w:r>
        <w:t>For researchers who need language support, professional editing services include:</w:t>
      </w:r>
    </w:p>
    <w:p>
      <w:pPr>
        <w:numPr>
          <w:ilvl w:val="0"/>
          <w:numId w:val="2"/>
        </w:numPr>
        <w:spacing w:after="120"/>
      </w:pPr>
      <w:r>
        <w:rPr>
          <w:b/>
        </w:rPr>
        <w:t>Editage</w:t>
      </w:r>
      <w:r>
        <w:t>: editage.com - Comprehensive academic editing</w:t>
      </w:r>
    </w:p>
    <w:p>
      <w:pPr>
        <w:numPr>
          <w:ilvl w:val="0"/>
          <w:numId w:val="2"/>
        </w:numPr>
        <w:spacing w:after="120"/>
      </w:pPr>
      <w:r>
        <w:rPr>
          <w:b/>
        </w:rPr>
        <w:t>American Journal Experts</w:t>
      </w:r>
      <w:r>
        <w:t>: aje.com - Editing and translation services</w:t>
      </w:r>
    </w:p>
    <w:p>
      <w:pPr>
        <w:numPr>
          <w:ilvl w:val="0"/>
          <w:numId w:val="2"/>
        </w:numPr>
        <w:spacing w:after="120"/>
      </w:pPr>
      <w:r>
        <w:rPr>
          <w:b/>
        </w:rPr>
        <w:t>Enago</w:t>
      </w:r>
      <w:r>
        <w:t>: enago.com - English editing for researchers</w:t>
      </w:r>
    </w:p>
    <w:p>
      <w:pPr>
        <w:numPr>
          <w:ilvl w:val="0"/>
          <w:numId w:val="2"/>
        </w:numPr>
        <w:spacing w:after="120"/>
      </w:pPr>
      <w:r>
        <w:rPr>
          <w:b/>
        </w:rPr>
        <w:t>Nature Research Editing Service</w:t>
      </w:r>
      <w:r>
        <w:t>: authorservices.springernature.com - From Nature portfolio</w:t>
      </w:r>
    </w:p>
    <w:p>
      <w:pPr>
        <w:pStyle w:val="Heading2"/>
      </w:pPr>
      <w:r>
        <w:t>8.6 Key Takeaways</w:t>
      </w:r>
    </w:p>
    <w:p>
      <w:r>
        <w:t>Publishing in Q1 journals is achievable with the right approach. Remember these key principles:</w:t>
      </w:r>
    </w:p>
    <w:p>
      <w:pPr>
        <w:numPr>
          <w:ilvl w:val="0"/>
          <w:numId w:val="1"/>
        </w:numPr>
        <w:spacing w:after="120"/>
      </w:pPr>
      <w:r>
        <w:rPr>
          <w:b/>
        </w:rPr>
        <w:t>Quality First</w:t>
      </w:r>
      <w:r>
        <w:t>: Focus on producing rigorous, original research that advances your field.</w:t>
      </w:r>
    </w:p>
    <w:p>
      <w:pPr>
        <w:numPr>
          <w:ilvl w:val="0"/>
          <w:numId w:val="1"/>
        </w:numPr>
        <w:spacing w:after="120"/>
      </w:pPr>
      <w:r>
        <w:rPr>
          <w:b/>
        </w:rPr>
        <w:t>Strategic Selection</w:t>
      </w:r>
      <w:r>
        <w:t>: Choose journals carefully based on scope, impact, and fit.</w:t>
      </w:r>
    </w:p>
    <w:p>
      <w:pPr>
        <w:numPr>
          <w:ilvl w:val="0"/>
          <w:numId w:val="1"/>
        </w:numPr>
        <w:spacing w:after="120"/>
      </w:pPr>
      <w:r>
        <w:rPr>
          <w:b/>
        </w:rPr>
        <w:t>Professional Presentation</w:t>
      </w:r>
      <w:r>
        <w:t>: Invest time in clear writing, quality figures, and proper formatting.</w:t>
      </w:r>
    </w:p>
    <w:p>
      <w:pPr>
        <w:numPr>
          <w:ilvl w:val="0"/>
          <w:numId w:val="1"/>
        </w:numPr>
        <w:spacing w:after="120"/>
      </w:pPr>
      <w:r>
        <w:rPr>
          <w:b/>
        </w:rPr>
        <w:t>Learn from Feedback</w:t>
      </w:r>
      <w:r>
        <w:t>: Treat reviewer comments as opportunities to improve your work.</w:t>
      </w:r>
    </w:p>
    <w:p>
      <w:pPr>
        <w:numPr>
          <w:ilvl w:val="0"/>
          <w:numId w:val="1"/>
        </w:numPr>
        <w:spacing w:after="120"/>
      </w:pPr>
      <w:r>
        <w:rPr>
          <w:b/>
        </w:rPr>
        <w:t>Persist</w:t>
      </w:r>
      <w:r>
        <w:t>: Rejection is common; learn from it and keep improving.</w:t>
      </w:r>
    </w:p>
    <w:p>
      <w:r>
        <w:t>With dedication, strategic planning, and attention to the principles outlined in this guide, you can successfully navigate the publication process and achieve your goal of publishing in Q1 journals.</w:t>
      </w:r>
    </w:p>
    <w:p>
      <w:r>
        <w:br w:type="page"/>
      </w:r>
    </w:p>
    <w:p>
      <w:pPr>
        <w:spacing w:before="4000"/>
      </w:pPr>
      <w:r/>
    </w:p>
    <w:p>
      <w:pPr>
        <w:spacing w:after="400"/>
        <w:jc w:val="center"/>
      </w:pPr>
      <w:r>
        <w:rPr>
          <w:b/>
          <w:color w:val="1A237E"/>
          <w:sz w:val="36"/>
        </w:rPr>
        <w:t>Q1 JOURNALS</w:t>
      </w:r>
    </w:p>
    <w:p>
      <w:pPr>
        <w:spacing w:after="600"/>
        <w:jc w:val="center"/>
      </w:pPr>
      <w:r>
        <w:rPr>
          <w:color w:val="1565C0"/>
          <w:sz w:val="24"/>
        </w:rPr>
        <w:t>The Complete Researcher's Guide</w:t>
      </w:r>
    </w:p>
    <w:p>
      <w:pPr>
        <w:spacing w:after="200"/>
        <w:jc w:val="center"/>
      </w:pPr>
      <w:r>
        <w:rPr>
          <w:color w:val="424242"/>
        </w:rPr>
        <w:t>Your comprehensive resource for understanding journal rankings,</w:t>
      </w:r>
    </w:p>
    <w:p>
      <w:pPr>
        <w:spacing w:after="200"/>
        <w:jc w:val="center"/>
      </w:pPr>
      <w:r>
        <w:rPr>
          <w:color w:val="424242"/>
        </w:rPr>
        <w:t>navigating peer review, and achieving publication success.</w:t>
      </w:r>
    </w:p>
    <w:p>
      <w:pPr>
        <w:spacing w:before="2000"/>
      </w:pPr>
      <w:r/>
    </w:p>
    <w:p>
      <w:pPr>
        <w:spacing w:after="100"/>
        <w:jc w:val="center"/>
      </w:pPr>
      <w:r>
        <w:rPr>
          <w:color w:val="757575"/>
          <w:sz w:val="18"/>
        </w:rPr>
        <w:t>For the latest updates and additional resources:</w:t>
      </w:r>
    </w:p>
    <w:p>
      <w:pPr>
        <w:jc w:val="center"/>
      </w:pPr>
      <w:r>
        <w:rPr>
          <w:color w:val="1565C0"/>
          <w:sz w:val="18"/>
        </w:rPr>
        <w:t>Consult your institution's library services and academic support offices</w:t>
      </w:r>
    </w:p>
    <w:p>
      <w:pPr>
        <w:spacing w:before="1500"/>
      </w:pPr>
      <w:r/>
    </w:p>
    <w:p>
      <w:pPr>
        <w:jc w:val="center"/>
      </w:pPr>
      <w:r>
        <w:rPr>
          <w:color w:val="757575"/>
          <w:sz w:val="16"/>
        </w:rPr>
        <w:t>© 2025 - All Rights Reserved</w:t>
      </w:r>
    </w:p>
    <w:sectPr>
      <w:headerReference w:type="default" r:id="R6f3a829411054430"/>
      <w:footerReference w:type="default" r:id="R15feb30052704a54"/>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757575"/>
        <w:sz w:val="18"/>
      </w:rPr>
      <w:t xml:space="preserve">Page </w:t>
    </w:r>
    <w:r>
      <w:rPr>
        <w:color w:val="757575"/>
        <w:sz w:val="18"/>
      </w:rPr>
      <w:fldChar w:fldCharType="begin"/>
      <w:instrText xml:space="preserve"> PAGE </w:instrText>
      <w:fldChar w:fldCharType="separate"/>
      <w:t>1</w:t>
      <w:fldChar w:fldCharType="end"/>
    </w:r>
    <w:r>
      <w:rPr>
        <w:color w:val="757575"/>
        <w:sz w:val="18"/>
      </w:rPr>
      <w:t xml:space="preserve"> of </w:t>
    </w:r>
    <w:r>
      <w:rPr>
        <w:color w:val="757575"/>
        <w:sz w:val="18"/>
      </w:rPr>
      <w:fldChar w:fldCharType="begin"/>
      <w:instrText xml:space="preserve"> NUMPAGES </w:instrText>
      <w:fldChar w:fldCharType="separate"/>
      <w:t>1</w:t>
      <w:fldChar w:fldCharType="end"/>
    </w:r>
  </w:p>
</w:ftr>
</file>

<file path=word/header1.xml><?xml version="1.0" encoding="utf-8"?>
<w:hdr xmlns:w="http://schemas.openxmlformats.org/wordprocessingml/2006/main">
  <w:p>
    <w:pPr>
      <w:pBdr>
        <w:bottom w:val="single" w:color="1A237E" w:sz="6"/>
      </w:pBdr>
      <w:jc w:val="right"/>
    </w:pPr>
    <w:r>
      <w:rPr>
        <w:color w:val="757575"/>
        <w:sz w:val="18"/>
      </w:rPr>
      <w:t>Q1 Journals: The Complete Researcher's Guide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jc w:val="both"/>
    </w:pPr>
    <w:rPr>
      <w:rFonts w:ascii="Calibri" w:hAnsi="Calibri" w:eastAsia="Microsoft YaHei"/>
      <w:color w:val="212121"/>
      <w:sz w:val="22"/>
    </w:rPr>
  </w:style>
  <w:style w:type="paragraph" w:styleId="Heading1">
    <w:name w:val="heading 1"/>
    <w:basedOn w:val="Normal"/>
    <w:pPr>
      <w:keepNext/>
      <w:keepLines/>
      <w:pageBreakBefore/>
      <w:spacing w:before="400" w:after="240" w:line="240" w:lineRule="auto"/>
      <w:outlineLvl w:val="0"/>
    </w:pPr>
    <w:rPr>
      <w:b/>
      <w:color w:val="1A237E"/>
      <w:sz w:val="40"/>
    </w:rPr>
  </w:style>
  <w:style w:type="paragraph" w:styleId="Heading2">
    <w:name w:val="heading 2"/>
    <w:basedOn w:val="Normal"/>
    <w:pPr>
      <w:keepNext/>
      <w:keepLines/>
      <w:spacing w:before="360" w:after="160"/>
      <w:outlineLvl w:val="1"/>
    </w:pPr>
    <w:rPr>
      <w:b/>
      <w:color w:val="1565C0"/>
      <w:sz w:val="28"/>
    </w:rPr>
  </w:style>
  <w:style w:type="paragraph" w:styleId="Heading3">
    <w:name w:val="heading 3"/>
    <w:basedOn w:val="Normal"/>
    <w:pPr>
      <w:keepNext/>
      <w:keepLines/>
      <w:spacing w:before="280" w:after="120"/>
      <w:outlineLvl w:val="2"/>
    </w:pPr>
    <w:rPr>
      <w:b/>
      <w:color w:val="00695C"/>
      <w:sz w:val="24"/>
    </w:rPr>
  </w:style>
  <w:style w:type="paragraph" w:styleId="TOC1">
    <w:name w:val="toc 1"/>
    <w:basedOn w:val="Normal"/>
    <w:pPr>
      <w:tabs>
        <w:tab w:val="right" w:leader="dot" w:pos="9350"/>
      </w:tabs>
      <w:spacing w:before="200" w:after="60"/>
    </w:pPr>
    <w:rPr>
      <w:b/>
      <w:color w:val="212121"/>
    </w:rPr>
  </w:style>
  <w:style w:type="paragraph" w:styleId="TOC2">
    <w:name w:val="toc 2"/>
    <w:basedOn w:val="Normal"/>
    <w:pPr>
      <w:tabs>
        <w:tab w:val="right" w:leader="dot" w:pos="9350"/>
      </w:tabs>
      <w:spacing w:before="60" w:after="60"/>
      <w:ind w:left="360"/>
    </w:pPr>
    <w:rPr>
      <w:color w:val="424242"/>
    </w:rPr>
  </w:style>
  <w:style w:type="paragraph" w:styleId="Caption">
    <w:name w:val="Caption"/>
    <w:basedOn w:val="Normal"/>
    <w:pPr>
      <w:spacing w:before="60" w:after="300"/>
      <w:jc w:val="center"/>
    </w:pPr>
    <w:rPr>
      <w:i/>
      <w:color w:val="424242"/>
      <w:sz w:val="20"/>
    </w:rPr>
  </w:style>
</w:styles>
</file>

<file path=word/_rels/document.xml.rels>&#65279;<?xml version="1.0" encoding="utf-8"?><Relationships xmlns="http://schemas.openxmlformats.org/package/2006/relationships"><Relationship Type="http://schemas.openxmlformats.org/officeDocument/2006/relationships/styles" Target="/word/styles.xml" Id="R0df95521432749ca" /><Relationship Type="http://schemas.openxmlformats.org/officeDocument/2006/relationships/numbering" Target="/word/numbering.xml" Id="R32c598d09af94139" /><Relationship Type="http://schemas.openxmlformats.org/officeDocument/2006/relationships/header" Target="/word/header1.xml" Id="R6f3a829411054430" /><Relationship Type="http://schemas.openxmlformats.org/officeDocument/2006/relationships/footer" Target="/word/footer1.xml" Id="R15feb30052704a54" /><Relationship Type="http://schemas.openxmlformats.org/officeDocument/2006/relationships/image" Target="/media/image.png" Id="R7bf43ccee5e3440a" /><Relationship Type="http://schemas.openxmlformats.org/officeDocument/2006/relationships/image" Target="/media/image2.png" Id="Rbe6f242c76704c4a" /><Relationship Type="http://schemas.openxmlformats.org/officeDocument/2006/relationships/settings" Target="/word/settings.xml" Id="Rd73188b31c674b4e" /></Relationships>
</file>