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57f79668ed734d3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3000"/>
      </w:pPr>
      <w:r/>
    </w:p>
    <w:p>
      <w:pPr>
        <w:spacing w:after="200"/>
        <w:jc w:val="center"/>
      </w:pPr>
      <w:r>
        <w:rPr>
          <w:b/>
          <w:color w:val="00695C"/>
          <w:sz w:val="72"/>
        </w:rPr>
        <w:t>Q2 &amp; Q3 JOURNALS</w:t>
      </w:r>
    </w:p>
    <w:p>
      <w:pPr>
        <w:spacing w:after="600"/>
        <w:jc w:val="center"/>
      </w:pPr>
      <w:r>
        <w:rPr>
          <w:color w:val="F57C00"/>
          <w:sz w:val="36"/>
        </w:rPr>
        <w:t>Strategic Publication Guide</w:t>
      </w:r>
    </w:p>
    <w:p>
      <w:pPr>
        <w:spacing w:after="600"/>
        <w:jc w:val="center"/>
      </w:pPr>
      <w:r>
        <w:rPr>
          <w:color w:val="1565C0"/>
        </w:rPr>
        <w:t>________________________________________</w:t>
      </w:r>
    </w:p>
    <w:p>
      <w:pPr>
        <w:spacing w:after="400"/>
        <w:jc w:val="center"/>
      </w:pPr>
      <w:r>
        <w:rPr>
          <w:color w:val="424242"/>
          <w:sz w:val="24"/>
        </w:rPr>
        <w:t>Building Your Publication Portfolio with Mid-Tier Journals</w:t>
      </w:r>
    </w:p>
    <w:p>
      <w:pPr>
        <w:spacing w:after="2000"/>
        <w:jc w:val="center"/>
      </w:pPr>
      <w:r>
        <w:rPr>
          <w:color w:val="424242"/>
          <w:sz w:val="22"/>
        </w:rPr>
        <w:t>For New and Experienced Researchers Seeking Strategic Publication</w:t>
      </w:r>
    </w:p>
    <w:p>
      <w:pPr>
        <w:spacing w:after="80"/>
        <w:jc w:val="center"/>
      </w:pPr>
      <w:r>
        <w:rPr>
          <w:color w:val="757575"/>
          <w:sz w:val="20"/>
        </w:rPr>
        <w:t>• Understanding Q2 &amp; Q3 Journal Rankings</w:t>
      </w:r>
    </w:p>
    <w:p>
      <w:pPr>
        <w:spacing w:after="80"/>
        <w:jc w:val="center"/>
      </w:pPr>
      <w:r>
        <w:rPr>
          <w:color w:val="757575"/>
          <w:sz w:val="20"/>
        </w:rPr>
        <w:t>• Strategic Value for Career Development</w:t>
      </w:r>
    </w:p>
    <w:p>
      <w:pPr>
        <w:spacing w:after="80"/>
        <w:jc w:val="center"/>
      </w:pPr>
      <w:r>
        <w:rPr>
          <w:color w:val="757575"/>
          <w:sz w:val="20"/>
        </w:rPr>
        <w:t>• Prominent Q2 &amp; Q3 Journals by Field</w:t>
      </w:r>
    </w:p>
    <w:p>
      <w:pPr>
        <w:spacing w:after="80"/>
        <w:jc w:val="center"/>
      </w:pPr>
      <w:r>
        <w:rPr>
          <w:color w:val="757575"/>
          <w:sz w:val="20"/>
        </w:rPr>
        <w:t>• When to Target Q2 vs Q3</w:t>
      </w:r>
    </w:p>
    <w:p>
      <w:pPr>
        <w:spacing w:after="80"/>
        <w:jc w:val="center"/>
      </w:pPr>
      <w:r>
        <w:rPr>
          <w:color w:val="757575"/>
          <w:sz w:val="20"/>
        </w:rPr>
        <w:t>• Peer Review in Mid-Tier Journals</w:t>
      </w:r>
    </w:p>
    <w:p>
      <w:pPr>
        <w:spacing w:after="80"/>
        <w:jc w:val="center"/>
      </w:pPr>
      <w:r>
        <w:rPr>
          <w:color w:val="757575"/>
          <w:sz w:val="20"/>
        </w:rPr>
        <w:t>• Publication Strategies for Success</w:t>
      </w:r>
    </w:p>
    <w:p>
      <w:pPr>
        <w:spacing w:after="80"/>
        <w:jc w:val="center"/>
      </w:pPr>
      <w:r>
        <w:rPr>
          <w:color w:val="757575"/>
          <w:sz w:val="20"/>
        </w:rPr>
        <w:t>• Building a Balanced Publication Portfolio</w:t>
      </w:r>
    </w:p>
    <w:p>
      <w:pPr>
        <w:spacing w:before="1500"/>
      </w:pPr>
      <w:r/>
    </w:p>
    <w:p>
      <w:pPr>
        <w:jc w:val="center"/>
      </w:pPr>
      <w:r>
        <w:rPr>
          <w:color w:val="757575"/>
          <w:sz w:val="20"/>
        </w:rPr>
        <w:t>2025 Edition</w:t>
      </w:r>
    </w:p>
    <w:p>
      <w:pPr>
        <w:sectPr>
          <w:type w:val="nextPage"/>
          <w:pgSz w:w="11906" w:h="16838"/>
          <w:pgMar w:top="1440" w:right="1440" w:bottom="1440" w:left="1440" w:header="720" w:footer="720"/>
        </w:sectPr>
      </w:pPr>
    </w:p>
    <w:p>
      <w:pPr>
        <w:spacing w:after="400"/>
        <w:jc w:val="center"/>
      </w:pPr>
      <w:r>
        <w:rPr>
          <w:b/>
          <w:color w:val="00695C"/>
          <w:sz w:val="40"/>
        </w:rPr>
        <w:t>TABLE OF CONTENTS</w:t>
      </w:r>
    </w:p>
    <w:p>
      <w:pPr>
        <w:spacing w:after="300"/>
      </w:pPr>
      <w:r>
        <w:rPr>
          <w:color w:val="757575"/>
          <w:sz w:val="18"/>
        </w:rPr>
        <w:t>(Right-click and select "Update Field" to refresh page numbers)</w:t>
      </w:r>
    </w:p>
    <w:p>
      <w:r>
        <w:fldChar w:fldCharType="begin"/>
      </w:r>
      <w:r>
        <w:instrText xml:space="preserve"> TOC \o "1-3" \h \z \u </w:instrText>
      </w:r>
      <w:r>
        <w:fldChar w:fldCharType="separate"/>
      </w:r>
    </w:p>
    <w:p>
      <w:pPr>
        <w:pStyle w:val="TOC1"/>
      </w:pPr>
      <w:r>
        <w:t>Chapter 1: Understanding Q2 &amp; Q3 Journals</w:t>
      </w:r>
      <w:r>
        <w:tab/>
      </w:r>
      <w:r>
        <w:t>3</w:t>
      </w:r>
    </w:p>
    <w:p>
      <w:pPr>
        <w:pStyle w:val="TOC2"/>
      </w:pPr>
      <w:r>
        <w:t>1.1 What Are Q2 and Q3 Journals?</w:t>
      </w:r>
      <w:r>
        <w:tab/>
      </w:r>
      <w:r>
        <w:t>3</w:t>
      </w:r>
    </w:p>
    <w:p>
      <w:pPr>
        <w:pStyle w:val="TOC2"/>
      </w:pPr>
      <w:r>
        <w:t>1.2 How Q2/Q3 Fit in the Academic Landscape</w:t>
      </w:r>
      <w:r>
        <w:tab/>
      </w:r>
      <w:r>
        <w:t>4</w:t>
      </w:r>
    </w:p>
    <w:p>
      <w:pPr>
        <w:pStyle w:val="TOC1"/>
      </w:pPr>
      <w:r>
        <w:t>Chapter 2: Strategic Value of Q2 &amp; Q3 Journals</w:t>
      </w:r>
      <w:r>
        <w:tab/>
      </w:r>
      <w:r>
        <w:t>6</w:t>
      </w:r>
    </w:p>
    <w:p>
      <w:pPr>
        <w:pStyle w:val="TOC2"/>
      </w:pPr>
      <w:r>
        <w:t>2.1 Why Publish in Q2 Journals?</w:t>
      </w:r>
      <w:r>
        <w:tab/>
      </w:r>
      <w:r>
        <w:t>6</w:t>
      </w:r>
    </w:p>
    <w:p>
      <w:pPr>
        <w:pStyle w:val="TOC2"/>
      </w:pPr>
      <w:r>
        <w:t>2.2 Why Publish in Q3 Journals?</w:t>
      </w:r>
      <w:r>
        <w:tab/>
      </w:r>
      <w:r>
        <w:t>7</w:t>
      </w:r>
    </w:p>
    <w:p>
      <w:pPr>
        <w:pStyle w:val="TOC2"/>
      </w:pPr>
      <w:r>
        <w:t>2.3 Acceptance Rates and Timelines</w:t>
      </w:r>
      <w:r>
        <w:tab/>
      </w:r>
      <w:r>
        <w:t>8</w:t>
      </w:r>
    </w:p>
    <w:p>
      <w:pPr>
        <w:pStyle w:val="TOC1"/>
      </w:pPr>
      <w:r>
        <w:t>Chapter 3: Prominent Q2 &amp; Q3 Journals by Field</w:t>
      </w:r>
      <w:r>
        <w:tab/>
      </w:r>
      <w:r>
        <w:t>10</w:t>
      </w:r>
    </w:p>
    <w:p>
      <w:pPr>
        <w:pStyle w:val="TOC2"/>
      </w:pPr>
      <w:r>
        <w:t>3.1 Computer Science and Engineering</w:t>
      </w:r>
      <w:r>
        <w:tab/>
      </w:r>
      <w:r>
        <w:t>10</w:t>
      </w:r>
    </w:p>
    <w:p>
      <w:pPr>
        <w:pStyle w:val="TOC2"/>
      </w:pPr>
      <w:r>
        <w:t>3.2 Medicine and Healthcare</w:t>
      </w:r>
      <w:r>
        <w:tab/>
      </w:r>
      <w:r>
        <w:t>12</w:t>
      </w:r>
    </w:p>
    <w:p>
      <w:pPr>
        <w:pStyle w:val="TOC2"/>
      </w:pPr>
      <w:r>
        <w:t>3.3 Social Sciences and Psychology</w:t>
      </w:r>
      <w:r>
        <w:tab/>
      </w:r>
      <w:r>
        <w:t>14</w:t>
      </w:r>
    </w:p>
    <w:p>
      <w:pPr>
        <w:pStyle w:val="TOC1"/>
      </w:pPr>
      <w:r>
        <w:t>Chapter 4: When to Target Q2 vs Q3</w:t>
      </w:r>
      <w:r>
        <w:tab/>
      </w:r>
      <w:r>
        <w:t>16</w:t>
      </w:r>
    </w:p>
    <w:p>
      <w:pPr>
        <w:pStyle w:val="TOC2"/>
      </w:pPr>
      <w:r>
        <w:t>4.1 Decision Framework</w:t>
      </w:r>
      <w:r>
        <w:tab/>
      </w:r>
      <w:r>
        <w:t>16</w:t>
      </w:r>
    </w:p>
    <w:p>
      <w:pPr>
        <w:pStyle w:val="TOC2"/>
      </w:pPr>
      <w:r>
        <w:t>4.2 Career Stage Considerations</w:t>
      </w:r>
      <w:r>
        <w:tab/>
      </w:r>
      <w:r>
        <w:t>17</w:t>
      </w:r>
    </w:p>
    <w:p>
      <w:pPr>
        <w:pStyle w:val="TOC1"/>
      </w:pPr>
      <w:r>
        <w:t>Chapter 5: Peer Review in Q2/Q3 Journals</w:t>
      </w:r>
      <w:r>
        <w:tab/>
      </w:r>
      <w:r>
        <w:t>19</w:t>
      </w:r>
    </w:p>
    <w:p>
      <w:pPr>
        <w:pStyle w:val="TOC2"/>
      </w:pPr>
      <w:r>
        <w:t>5.1 What Reviewers Look For</w:t>
      </w:r>
      <w:r>
        <w:tab/>
      </w:r>
      <w:r>
        <w:t>19</w:t>
      </w:r>
    </w:p>
    <w:p>
      <w:pPr>
        <w:pStyle w:val="TOC2"/>
      </w:pPr>
      <w:r>
        <w:t>5.2 Common Rejection Reasons</w:t>
      </w:r>
      <w:r>
        <w:tab/>
      </w:r>
      <w:r>
        <w:t>20</w:t>
      </w:r>
    </w:p>
    <w:p>
      <w:pPr>
        <w:pStyle w:val="TOC1"/>
      </w:pPr>
      <w:r>
        <w:t>Chapter 6: Publication Strategies</w:t>
      </w:r>
      <w:r>
        <w:tab/>
      </w:r>
      <w:r>
        <w:t>22</w:t>
      </w:r>
    </w:p>
    <w:p>
      <w:pPr>
        <w:pStyle w:val="TOC2"/>
      </w:pPr>
      <w:r>
        <w:t>6.1 Writing for Q2/Q3 Journals</w:t>
      </w:r>
      <w:r>
        <w:tab/>
      </w:r>
      <w:r>
        <w:t>22</w:t>
      </w:r>
    </w:p>
    <w:p>
      <w:pPr>
        <w:pStyle w:val="TOC2"/>
      </w:pPr>
      <w:r>
        <w:t>6.2 Journal Selection Strategy</w:t>
      </w:r>
      <w:r>
        <w:tab/>
      </w:r>
      <w:r>
        <w:t>23</w:t>
      </w:r>
    </w:p>
    <w:p>
      <w:pPr>
        <w:pStyle w:val="TOC1"/>
      </w:pPr>
      <w:r>
        <w:t>Chapter 7: Building Your Portfolio</w:t>
      </w:r>
      <w:r>
        <w:tab/>
      </w:r>
      <w:r>
        <w:t>25</w:t>
      </w:r>
    </w:p>
    <w:p>
      <w:pPr>
        <w:pStyle w:val="TOC2"/>
      </w:pPr>
      <w:r>
        <w:t>7.1 The Balanced Approach</w:t>
      </w:r>
      <w:r>
        <w:tab/>
      </w:r>
      <w:r>
        <w:t>25</w:t>
      </w:r>
    </w:p>
    <w:p>
      <w:pPr>
        <w:pStyle w:val="TOC2"/>
      </w:pPr>
      <w:r>
        <w:t>7.2 Long-Term Career Planning</w:t>
      </w:r>
      <w:r>
        <w:tab/>
      </w:r>
      <w:r>
        <w:t>26</w:t>
      </w:r>
    </w:p>
    <w:p>
      <w:pPr>
        <w:pStyle w:val="TOC1"/>
      </w:pPr>
      <w:r>
        <w:t>Chapter 8: Resources and Tools</w:t>
      </w:r>
      <w:r>
        <w:tab/>
      </w:r>
      <w:r>
        <w:t>28</w:t>
      </w:r>
    </w:p>
    <w:p>
      <w:r>
        <w:fldChar w:fldCharType="end"/>
      </w:r>
    </w:p>
    <w:p>
      <w:pPr>
        <w:sectPr>
          <w:type w:val="nextPage"/>
          <w:pgSz w:w="11906" w:h="16838"/>
          <w:pgMar w:top="1440" w:right="1440" w:bottom="1440" w:left="1440" w:header="720" w:footer="720"/>
        </w:sectPr>
      </w:pPr>
    </w:p>
    <w:p>
      <w:pPr>
        <w:pStyle w:val="Heading1"/>
      </w:pPr>
      <w:r>
        <w:t>Chapter 1: Understanding Q2 &amp; Q3 Journals</w:t>
      </w:r>
    </w:p>
    <w:p>
      <w:r>
        <w:t>While Q1 journals receive the most attention in academic circles, Q2 and Q3 journals play a crucial role in the research ecosystem. These mid-tier journals offer valuable opportunities for researchers at all career stages, providing accessible publication venues with faster timelines and higher acceptance rates than top-tier journals.</w:t>
      </w:r>
    </w:p>
    <w:p>
      <w:pPr>
        <w:pStyle w:val="Heading2"/>
      </w:pPr>
      <w:r>
        <w:t>1.1 What Are Q2 and Q3 Journals?</w:t>
      </w:r>
    </w:p>
    <w:p>
      <w:r>
        <w:t>Journal quartiles divide academic journals into four equal groups based on their impact metrics within specific subject categories. Understanding where Q2 and Q3 journals fit in this hierarchy is essential for strategic publication planning.</w:t>
      </w:r>
    </w:p>
    <w:tbl>
      <w:tblPr>
        <w:tblW w:w="5000" w:type="pct"/>
        <w:tblBorders>
          <w:top w:val="single" w:color="00695C" w:sz="12"/>
          <w:left w:val="nil"/>
          <w:bottom w:val="single" w:color="00695C" w:sz="12"/>
          <w:right w:val="nil"/>
          <w:insideH w:val="single" w:color="E0E0E0" w:sz="4"/>
          <w:insideV w:val="nil"/>
        </w:tblBorders>
      </w:tblPr>
      <w:tblGrid>
        <w:gridCol w:w="1200"/>
        <w:gridCol w:w="1500"/>
        <w:gridCol w:w="1800"/>
        <w:gridCol w:w="1800"/>
        <w:gridCol w:w="1700"/>
      </w:tblGrid>
      <w:tr>
        <w:trPr>
          <w:tblHeader/>
        </w:trPr>
        <w:tc>
          <w:tcPr>
            <w:tcW w:w="0" w:type="auto"/>
            <w:tcBorders>
              <w:bottom w:val="single" w:color="00695C" w:sz="8"/>
            </w:tcBorders>
            <w:shd w:val="clear" w:fill="E0F2F1"/>
            <w:vAlign w:val="center"/>
          </w:tcPr>
          <w:p>
            <w:pPr>
              <w:spacing w:before="100" w:after="100"/>
              <w:jc w:val="center"/>
            </w:pPr>
            <w:r>
              <w:rPr>
                <w:b/>
                <w:color w:val="212121"/>
                <w:sz w:val="21"/>
              </w:rPr>
              <w:t>Quartile</w:t>
            </w:r>
          </w:p>
        </w:tc>
        <w:tc>
          <w:tcPr>
            <w:tcW w:w="0" w:type="auto"/>
            <w:tcBorders>
              <w:bottom w:val="single" w:color="00695C" w:sz="8"/>
            </w:tcBorders>
            <w:shd w:val="clear" w:fill="E0F2F1"/>
            <w:vAlign w:val="center"/>
          </w:tcPr>
          <w:p>
            <w:pPr>
              <w:spacing w:before="100" w:after="100"/>
              <w:jc w:val="center"/>
            </w:pPr>
            <w:r>
              <w:rPr>
                <w:b/>
                <w:color w:val="212121"/>
                <w:sz w:val="21"/>
              </w:rPr>
              <w:t>Ranking</w:t>
            </w:r>
          </w:p>
        </w:tc>
        <w:tc>
          <w:tcPr>
            <w:tcW w:w="0" w:type="auto"/>
            <w:tcBorders>
              <w:bottom w:val="single" w:color="00695C" w:sz="8"/>
            </w:tcBorders>
            <w:shd w:val="clear" w:fill="E0F2F1"/>
            <w:vAlign w:val="center"/>
          </w:tcPr>
          <w:p>
            <w:pPr>
              <w:spacing w:before="100" w:after="100"/>
              <w:jc w:val="center"/>
            </w:pPr>
            <w:r>
              <w:rPr>
                <w:b/>
                <w:color w:val="212121"/>
                <w:sz w:val="21"/>
              </w:rPr>
              <w:t>Impact</w:t>
            </w:r>
          </w:p>
        </w:tc>
        <w:tc>
          <w:tcPr>
            <w:tcW w:w="0" w:type="auto"/>
            <w:tcBorders>
              <w:bottom w:val="single" w:color="00695C" w:sz="8"/>
            </w:tcBorders>
            <w:shd w:val="clear" w:fill="E0F2F1"/>
            <w:vAlign w:val="center"/>
          </w:tcPr>
          <w:p>
            <w:pPr>
              <w:spacing w:before="100" w:after="100"/>
              <w:jc w:val="center"/>
            </w:pPr>
            <w:r>
              <w:rPr>
                <w:b/>
                <w:color w:val="212121"/>
                <w:sz w:val="21"/>
              </w:rPr>
              <w:t>Reputation</w:t>
            </w:r>
          </w:p>
        </w:tc>
        <w:tc>
          <w:tcPr>
            <w:tcW w:w="0" w:type="auto"/>
            <w:tcBorders>
              <w:bottom w:val="single" w:color="00695C" w:sz="8"/>
            </w:tcBorders>
            <w:shd w:val="clear" w:fill="E0F2F1"/>
            <w:vAlign w:val="center"/>
          </w:tcPr>
          <w:p>
            <w:pPr>
              <w:spacing w:before="100" w:after="100"/>
              <w:jc w:val="center"/>
            </w:pPr>
            <w:r>
              <w:rPr>
                <w:b/>
                <w:color w:val="212121"/>
                <w:sz w:val="21"/>
              </w:rPr>
              <w:t>Best For</w:t>
            </w:r>
          </w:p>
        </w:tc>
      </w:tr>
      <w:tr>
        <w:tc>
          <w:tcPr>
            <w:tcW w:w="0" w:type="auto"/>
            <w:vAlign w:val="center"/>
          </w:tcPr>
          <w:p>
            <w:pPr>
              <w:spacing w:before="80" w:after="80"/>
              <w:jc w:val="left"/>
            </w:pPr>
            <w:r>
              <w:rPr>
                <w:color w:val="212121"/>
                <w:sz w:val="20"/>
              </w:rPr>
              <w:t>Q1</w:t>
            </w:r>
          </w:p>
        </w:tc>
        <w:tc>
          <w:tcPr>
            <w:tcW w:w="0" w:type="auto"/>
            <w:vAlign w:val="center"/>
          </w:tcPr>
          <w:p>
            <w:pPr>
              <w:spacing w:before="80" w:after="80"/>
              <w:jc w:val="center"/>
            </w:pPr>
            <w:r>
              <w:rPr>
                <w:color w:val="212121"/>
                <w:sz w:val="20"/>
              </w:rPr>
              <w:t>Top 25%</w:t>
            </w:r>
          </w:p>
        </w:tc>
        <w:tc>
          <w:tcPr>
            <w:tcW w:w="0" w:type="auto"/>
            <w:vAlign w:val="center"/>
          </w:tcPr>
          <w:p>
            <w:pPr>
              <w:spacing w:before="80" w:after="80"/>
              <w:jc w:val="center"/>
            </w:pPr>
            <w:r>
              <w:rPr>
                <w:color w:val="212121"/>
                <w:sz w:val="20"/>
              </w:rPr>
              <w:t>Very High</w:t>
            </w:r>
          </w:p>
        </w:tc>
        <w:tc>
          <w:tcPr>
            <w:tcW w:w="0" w:type="auto"/>
            <w:vAlign w:val="center"/>
          </w:tcPr>
          <w:p>
            <w:pPr>
              <w:spacing w:before="80" w:after="80"/>
              <w:jc w:val="center"/>
            </w:pPr>
            <w:r>
              <w:rPr>
                <w:color w:val="212121"/>
                <w:sz w:val="20"/>
              </w:rPr>
              <w:t>Prestigious</w:t>
            </w:r>
          </w:p>
        </w:tc>
        <w:tc>
          <w:tcPr>
            <w:tcW w:w="0" w:type="auto"/>
            <w:vAlign w:val="center"/>
          </w:tcPr>
          <w:p>
            <w:pPr>
              <w:spacing w:before="80" w:after="80"/>
              <w:jc w:val="center"/>
            </w:pPr>
            <w:r>
              <w:rPr>
                <w:color w:val="212121"/>
                <w:sz w:val="20"/>
              </w:rPr>
              <w:t>Breakthrough research</w:t>
            </w:r>
          </w:p>
        </w:tc>
      </w:tr>
      <w:tr>
        <w:tc>
          <w:tcPr>
            <w:tcW w:w="0" w:type="auto"/>
            <w:vAlign w:val="center"/>
          </w:tcPr>
          <w:p>
            <w:pPr>
              <w:spacing w:before="80" w:after="80"/>
              <w:jc w:val="left"/>
            </w:pPr>
            <w:r>
              <w:rPr>
                <w:color w:val="212121"/>
                <w:sz w:val="20"/>
              </w:rPr>
              <w:t>Q2</w:t>
            </w:r>
          </w:p>
        </w:tc>
        <w:tc>
          <w:tcPr>
            <w:tcW w:w="0" w:type="auto"/>
            <w:vAlign w:val="center"/>
          </w:tcPr>
          <w:p>
            <w:pPr>
              <w:spacing w:before="80" w:after="80"/>
              <w:jc w:val="center"/>
            </w:pPr>
            <w:r>
              <w:rPr>
                <w:color w:val="212121"/>
                <w:sz w:val="20"/>
              </w:rPr>
              <w:t>25-50%</w:t>
            </w:r>
          </w:p>
        </w:tc>
        <w:tc>
          <w:tcPr>
            <w:tcW w:w="0" w:type="auto"/>
            <w:vAlign w:val="center"/>
          </w:tcPr>
          <w:p>
            <w:pPr>
              <w:spacing w:before="80" w:after="80"/>
              <w:jc w:val="center"/>
            </w:pPr>
            <w:r>
              <w:rPr>
                <w:color w:val="212121"/>
                <w:sz w:val="20"/>
              </w:rPr>
              <w:t>High</w:t>
            </w:r>
          </w:p>
        </w:tc>
        <w:tc>
          <w:tcPr>
            <w:tcW w:w="0" w:type="auto"/>
            <w:vAlign w:val="center"/>
          </w:tcPr>
          <w:p>
            <w:pPr>
              <w:spacing w:before="80" w:after="80"/>
              <w:jc w:val="center"/>
            </w:pPr>
            <w:r>
              <w:rPr>
                <w:color w:val="212121"/>
                <w:sz w:val="20"/>
              </w:rPr>
              <w:t>Well-respected</w:t>
            </w:r>
          </w:p>
        </w:tc>
        <w:tc>
          <w:tcPr>
            <w:tcW w:w="0" w:type="auto"/>
            <w:vAlign w:val="center"/>
          </w:tcPr>
          <w:p>
            <w:pPr>
              <w:spacing w:before="80" w:after="80"/>
              <w:jc w:val="center"/>
            </w:pPr>
            <w:r>
              <w:rPr>
                <w:color w:val="212121"/>
                <w:sz w:val="20"/>
              </w:rPr>
              <w:t>Quality contributions</w:t>
            </w:r>
          </w:p>
        </w:tc>
      </w:tr>
      <w:tr>
        <w:tc>
          <w:tcPr>
            <w:tcW w:w="0" w:type="auto"/>
            <w:vAlign w:val="center"/>
          </w:tcPr>
          <w:p>
            <w:pPr>
              <w:spacing w:before="80" w:after="80"/>
              <w:jc w:val="left"/>
            </w:pPr>
            <w:r>
              <w:rPr>
                <w:color w:val="212121"/>
                <w:sz w:val="20"/>
              </w:rPr>
              <w:t>Q3</w:t>
            </w:r>
          </w:p>
        </w:tc>
        <w:tc>
          <w:tcPr>
            <w:tcW w:w="0" w:type="auto"/>
            <w:vAlign w:val="center"/>
          </w:tcPr>
          <w:p>
            <w:pPr>
              <w:spacing w:before="80" w:after="80"/>
              <w:jc w:val="center"/>
            </w:pPr>
            <w:r>
              <w:rPr>
                <w:color w:val="212121"/>
                <w:sz w:val="20"/>
              </w:rPr>
              <w:t>50-75%</w:t>
            </w:r>
          </w:p>
        </w:tc>
        <w:tc>
          <w:tcPr>
            <w:tcW w:w="0" w:type="auto"/>
            <w:vAlign w:val="center"/>
          </w:tcPr>
          <w:p>
            <w:pPr>
              <w:spacing w:before="80" w:after="80"/>
              <w:jc w:val="center"/>
            </w:pPr>
            <w:r>
              <w:rPr>
                <w:color w:val="212121"/>
                <w:sz w:val="20"/>
              </w:rPr>
              <w:t>Moderate</w:t>
            </w:r>
          </w:p>
        </w:tc>
        <w:tc>
          <w:tcPr>
            <w:tcW w:w="0" w:type="auto"/>
            <w:vAlign w:val="center"/>
          </w:tcPr>
          <w:p>
            <w:pPr>
              <w:spacing w:before="80" w:after="80"/>
              <w:jc w:val="center"/>
            </w:pPr>
            <w:r>
              <w:rPr>
                <w:color w:val="212121"/>
                <w:sz w:val="20"/>
              </w:rPr>
              <w:t>Good recognition</w:t>
            </w:r>
          </w:p>
        </w:tc>
        <w:tc>
          <w:tcPr>
            <w:tcW w:w="0" w:type="auto"/>
            <w:vAlign w:val="center"/>
          </w:tcPr>
          <w:p>
            <w:pPr>
              <w:spacing w:before="80" w:after="80"/>
              <w:jc w:val="center"/>
            </w:pPr>
            <w:r>
              <w:rPr>
                <w:color w:val="212121"/>
                <w:sz w:val="20"/>
              </w:rPr>
              <w:t>Niche/specialized work</w:t>
            </w:r>
          </w:p>
        </w:tc>
      </w:tr>
      <w:tr>
        <w:tc>
          <w:tcPr>
            <w:tcW w:w="0" w:type="auto"/>
            <w:vAlign w:val="center"/>
          </w:tcPr>
          <w:p>
            <w:pPr>
              <w:spacing w:before="80" w:after="80"/>
              <w:jc w:val="left"/>
            </w:pPr>
            <w:r>
              <w:rPr>
                <w:color w:val="212121"/>
                <w:sz w:val="20"/>
              </w:rPr>
              <w:t>Q4</w:t>
            </w:r>
          </w:p>
        </w:tc>
        <w:tc>
          <w:tcPr>
            <w:tcW w:w="0" w:type="auto"/>
            <w:vAlign w:val="center"/>
          </w:tcPr>
          <w:p>
            <w:pPr>
              <w:spacing w:before="80" w:after="80"/>
              <w:jc w:val="center"/>
            </w:pPr>
            <w:r>
              <w:rPr>
                <w:color w:val="212121"/>
                <w:sz w:val="20"/>
              </w:rPr>
              <w:t>Bottom 25%</w:t>
            </w:r>
          </w:p>
        </w:tc>
        <w:tc>
          <w:tcPr>
            <w:tcW w:w="0" w:type="auto"/>
            <w:vAlign w:val="center"/>
          </w:tcPr>
          <w:p>
            <w:pPr>
              <w:spacing w:before="80" w:after="80"/>
              <w:jc w:val="center"/>
            </w:pPr>
            <w:r>
              <w:rPr>
                <w:color w:val="212121"/>
                <w:sz w:val="20"/>
              </w:rPr>
              <w:t>Lower</w:t>
            </w:r>
          </w:p>
        </w:tc>
        <w:tc>
          <w:tcPr>
            <w:tcW w:w="0" w:type="auto"/>
            <w:vAlign w:val="center"/>
          </w:tcPr>
          <w:p>
            <w:pPr>
              <w:spacing w:before="80" w:after="80"/>
              <w:jc w:val="center"/>
            </w:pPr>
            <w:r>
              <w:rPr>
                <w:color w:val="212121"/>
                <w:sz w:val="20"/>
              </w:rPr>
              <w:t>Entry-level</w:t>
            </w:r>
          </w:p>
        </w:tc>
        <w:tc>
          <w:tcPr>
            <w:tcW w:w="0" w:type="auto"/>
            <w:vAlign w:val="center"/>
          </w:tcPr>
          <w:p>
            <w:pPr>
              <w:spacing w:before="80" w:after="80"/>
              <w:jc w:val="center"/>
            </w:pPr>
            <w:r>
              <w:rPr>
                <w:color w:val="212121"/>
                <w:sz w:val="20"/>
              </w:rPr>
              <w:t>First publications</w:t>
            </w:r>
          </w:p>
        </w:tc>
      </w:tr>
    </w:tbl>
    <w:p>
      <w:pPr>
        <w:pStyle w:val="Caption"/>
      </w:pPr>
      <w:r>
        <w:t>Table 1: Complete Quartile Comparison</w:t>
      </w:r>
    </w:p>
    <w:p>
      <w:pPr>
        <w:pStyle w:val="Heading3"/>
      </w:pPr>
      <w:r>
        <w:t>Q2 Journals (25-50% Ranking)</w:t>
      </w:r>
    </w:p>
    <w:p>
      <w:r>
        <w:t>Q2 journals occupy the second quartile, ranking between 25% and 50% within their subject categories. These journals maintain strong academic reputations, rigorous peer review processes, and respectable impact metrics. They represent an excellent balance between quality and accessibility for many researchers.</w:t>
      </w:r>
    </w:p>
    <w:p>
      <w:pPr>
        <w:pStyle w:val="Heading3"/>
      </w:pPr>
      <w:r>
        <w:t>Q3 Journals (50-75% Ranking)</w:t>
      </w:r>
    </w:p>
    <w:p>
      <w:r>
        <w:t>Q3 journals fall in the third quartile, ranking between 50% and 75%. These journals often focus on specialized, regional, or emerging research areas. While their citation metrics are lower than Q1 and Q2 journals, they still maintain Scopus or Web of Science indexing standards and provide valuable publication opportunities.</w:t>
      </w:r>
    </w:p>
    <w:p>
      <w:pPr>
        <w:pStyle w:val="Heading2"/>
      </w:pPr>
      <w:r>
        <w:t>1.2 How Q2/Q3 Fit in the Academic Landscape</w:t>
      </w:r>
    </w:p>
    <w:p>
      <w:r>
        <w:t>Q2 and Q3 journals serve important functions in the academic publishing ecosystem:</w:t>
      </w:r>
    </w:p>
    <w:p>
      <w:pPr>
        <w:numPr>
          <w:ilvl w:val="0"/>
          <w:numId w:val="2"/>
        </w:numPr>
        <w:spacing w:after="120"/>
      </w:pPr>
      <w:r>
        <w:rPr>
          <w:b/>
        </w:rPr>
        <w:t>Accessibility for Early-Career Researchers</w:t>
      </w:r>
      <w:r>
        <w:t>: These journals provide entry points for PhD students and early-career researchers building their publication records.</w:t>
      </w:r>
    </w:p>
    <w:p>
      <w:pPr>
        <w:numPr>
          <w:ilvl w:val="0"/>
          <w:numId w:val="2"/>
        </w:numPr>
        <w:spacing w:after="120"/>
      </w:pPr>
      <w:r>
        <w:rPr>
          <w:b/>
        </w:rPr>
        <w:t>Niche and Regional Research</w:t>
      </w:r>
      <w:r>
        <w:t>: Specialized topics and region-specific studies often find better homes in Q2/Q3 journals than in broad-scope Q1 publications.</w:t>
      </w:r>
    </w:p>
    <w:p>
      <w:pPr>
        <w:numPr>
          <w:ilvl w:val="0"/>
          <w:numId w:val="2"/>
        </w:numPr>
        <w:spacing w:after="120"/>
      </w:pPr>
      <w:r>
        <w:rPr>
          <w:b/>
        </w:rPr>
        <w:t>Faster Publication Cycles</w:t>
      </w:r>
      <w:r>
        <w:t>: Researchers facing thesis deadlines or job application timelines benefit from quicker review and publication processes.</w:t>
      </w:r>
    </w:p>
    <w:p>
      <w:pPr>
        <w:numPr>
          <w:ilvl w:val="0"/>
          <w:numId w:val="2"/>
        </w:numPr>
        <w:spacing w:after="120"/>
      </w:pPr>
      <w:r>
        <w:rPr>
          <w:b/>
        </w:rPr>
        <w:t>Stepping Stones to Q1</w:t>
      </w:r>
      <w:r>
        <w:t>: Many researchers use Q2/Q3 publications as stepping stones, building experience and confidence before targeting top-tier journals.</w:t>
      </w:r>
    </w:p>
    <w:p>
      <w:pPr>
        <w:numPr>
          <w:ilvl w:val="0"/>
          <w:numId w:val="2"/>
        </w:numPr>
        <w:spacing w:after="120"/>
      </w:pPr>
      <w:r>
        <w:rPr>
          <w:b/>
        </w:rPr>
        <w:t>Diverse Research Types</w:t>
      </w:r>
      <w:r>
        <w:t>: Case reports, pilot studies, methodological papers, and replication studies often fit better in Q2/Q3 journals.</w:t>
      </w:r>
    </w:p>
    <w:p>
      <w:pPr>
        <w:shd w:val="clear" w:fill="E0F2F1"/>
        <w:spacing w:before="200" w:after="200"/>
        <w:ind w:left="360" w:right="360"/>
      </w:pPr>
      <w:r>
        <w:rPr>
          <w:b/>
          <w:color w:val="00695C"/>
        </w:rPr>
        <w:t>Key Insight: </w:t>
      </w:r>
      <w:r>
        <w:t>Nearly half of Springer journals that started in Q3/Q4 between 2019-2023 have since moved to Q1 or Q2. Publishing in Q2/Q3 journals today may mean publishing in tomorrow's Q1 journals.</w:t>
      </w:r>
    </w:p>
    <w:p>
      <w:pPr>
        <w:pStyle w:val="Heading1"/>
      </w:pPr>
      <w:r>
        <w:t>Chapter 2: Strategic Value of Q2 &amp; Q3 Journals</w:t>
      </w:r>
    </w:p>
    <w:p>
      <w:r>
        <w:t>Understanding the strategic advantages of Q2 and Q3 journals helps researchers make informed publication decisions. These journals offer distinct benefits that complement, rather than replace, Q1 publication goals.</w:t>
      </w:r>
    </w:p>
    <w:p>
      <w:pPr>
        <w:pStyle w:val="Heading2"/>
      </w:pPr>
      <w:r>
        <w:t>2.1 Why Publish in Q2 Journals?</w:t>
      </w:r>
    </w:p>
    <w:p>
      <w:r>
        <w:t>Q2 journals offer a compelling combination of quality and accessibility:</w:t>
      </w:r>
    </w:p>
    <w:p>
      <w:pPr>
        <w:numPr>
          <w:ilvl w:val="0"/>
          <w:numId w:val="1"/>
        </w:numPr>
        <w:spacing w:after="120"/>
      </w:pPr>
      <w:r>
        <w:rPr>
          <w:b/>
        </w:rPr>
        <w:t>Strong Academic Recognition</w:t>
      </w:r>
      <w:r>
        <w:t>: Q2 journals are widely accepted for PhD requirements, faculty promotions, and grant applications. Many institutions specifically recognize Q2 publications as meeting high-quality standards.</w:t>
      </w:r>
    </w:p>
    <w:p>
      <w:pPr>
        <w:numPr>
          <w:ilvl w:val="0"/>
          <w:numId w:val="1"/>
        </w:numPr>
        <w:spacing w:after="120"/>
      </w:pPr>
      <w:r>
        <w:rPr>
          <w:b/>
        </w:rPr>
        <w:t>Respectable Impact Metrics</w:t>
      </w:r>
      <w:r>
        <w:t>: While not at Q1 levels, Q2 journals maintain solid impact factors, SJR scores, and citation rates that demonstrate your research reaches an engaged academic audience.</w:t>
      </w:r>
    </w:p>
    <w:p>
      <w:pPr>
        <w:numPr>
          <w:ilvl w:val="0"/>
          <w:numId w:val="1"/>
        </w:numPr>
        <w:spacing w:after="120"/>
      </w:pPr>
      <w:r>
        <w:rPr>
          <w:b/>
        </w:rPr>
        <w:t>Rigorous but Accessible Peer Review</w:t>
      </w:r>
      <w:r>
        <w:t>: Q2 journals maintain quality standards while being more accessible than Q1 journals. Reviewers provide constructive feedback that helps improve your work.</w:t>
      </w:r>
    </w:p>
    <w:p>
      <w:pPr>
        <w:numPr>
          <w:ilvl w:val="0"/>
          <w:numId w:val="1"/>
        </w:numPr>
        <w:spacing w:after="120"/>
      </w:pPr>
      <w:r>
        <w:rPr>
          <w:b/>
        </w:rPr>
        <w:t>Reasonable Timelines</w:t>
      </w:r>
      <w:r>
        <w:t>: First decisions typically arrive within 6-12 weeks, allowing you to plan your publication strategy effectively.</w:t>
      </w:r>
    </w:p>
    <w:p>
      <w:pPr>
        <w:numPr>
          <w:ilvl w:val="0"/>
          <w:numId w:val="1"/>
        </w:numPr>
        <w:spacing w:after="120"/>
      </w:pPr>
      <w:r>
        <w:rPr>
          <w:b/>
        </w:rPr>
        <w:t>Balanced Acceptance Rates</w:t>
      </w:r>
      <w:r>
        <w:t>: With acceptance rates of 15-25%, Q2 journals offer realistic chances of success for quality research.</w:t>
      </w:r>
    </w:p>
    <w:p>
      <w:pPr>
        <w:pStyle w:val="Heading2"/>
      </w:pPr>
      <w:r>
        <w:t>2.2 Why Publish in Q3 Journals?</w:t>
      </w:r>
    </w:p>
    <w:p>
      <w:r>
        <w:t>Q3 journals serve specific strategic purposes in a researcher's career:</w:t>
      </w:r>
    </w:p>
    <w:p>
      <w:pPr>
        <w:numPr>
          <w:ilvl w:val="0"/>
          <w:numId w:val="1"/>
        </w:numPr>
        <w:spacing w:after="120"/>
      </w:pPr>
      <w:r>
        <w:rPr>
          <w:b/>
        </w:rPr>
        <w:t>Fast Publication</w:t>
      </w:r>
      <w:r>
        <w:t>: Review timelines of 4-8 weeks make Q3 journals ideal when facing thesis deadlines, job applications, or funding requirements.</w:t>
      </w:r>
    </w:p>
    <w:p>
      <w:pPr>
        <w:numPr>
          <w:ilvl w:val="0"/>
          <w:numId w:val="1"/>
        </w:numPr>
        <w:spacing w:after="120"/>
      </w:pPr>
      <w:r>
        <w:rPr>
          <w:b/>
        </w:rPr>
        <w:t>Higher Acceptance Rates</w:t>
      </w:r>
      <w:r>
        <w:t>: With acceptance rates of 25-40%, Q3 journals provide accessible publication opportunities for early-career researchers.</w:t>
      </w:r>
    </w:p>
    <w:p>
      <w:pPr>
        <w:numPr>
          <w:ilvl w:val="0"/>
          <w:numId w:val="1"/>
        </w:numPr>
        <w:spacing w:after="120"/>
      </w:pPr>
      <w:r>
        <w:rPr>
          <w:b/>
        </w:rPr>
        <w:t>Niche Audience Reach</w:t>
      </w:r>
      <w:r>
        <w:t>: Specialized Q3 journals reach targeted audiences who are most interested in your specific research area.</w:t>
      </w:r>
    </w:p>
    <w:p>
      <w:pPr>
        <w:numPr>
          <w:ilvl w:val="0"/>
          <w:numId w:val="1"/>
        </w:numPr>
        <w:spacing w:after="120"/>
      </w:pPr>
      <w:r>
        <w:rPr>
          <w:b/>
        </w:rPr>
        <w:t>Regional Recognition</w:t>
      </w:r>
      <w:r>
        <w:t>: Many Q3 journals have strong reputations within specific geographic regions or academic communities.</w:t>
      </w:r>
    </w:p>
    <w:p>
      <w:pPr>
        <w:numPr>
          <w:ilvl w:val="0"/>
          <w:numId w:val="1"/>
        </w:numPr>
        <w:spacing w:after="120"/>
      </w:pPr>
      <w:r>
        <w:rPr>
          <w:b/>
        </w:rPr>
        <w:t>Publication Portfolio Building</w:t>
      </w:r>
      <w:r>
        <w:t>: Q3 journals help build a consistent publication record, demonstrating research productivity.</w:t>
      </w:r>
    </w:p>
    <w:p>
      <w:pPr>
        <w:numPr>
          <w:ilvl w:val="0"/>
          <w:numId w:val="1"/>
        </w:numPr>
        <w:spacing w:after="120"/>
      </w:pPr>
      <w:r>
        <w:rPr>
          <w:b/>
        </w:rPr>
        <w:t>Testing New Directions</w:t>
      </w:r>
      <w:r>
        <w:t>: Preliminary findings and pilot studies can be published in Q3 journals before expanding to larger Q1/Q2 studies.</w:t>
      </w:r>
    </w:p>
    <w:p>
      <w:pPr>
        <w:pStyle w:val="Heading2"/>
      </w:pPr>
      <w:r>
        <w:t>2.3 Acceptance Rates and Timelines</w:t>
      </w:r>
    </w:p>
    <w:tbl>
      <w:tblPr>
        <w:tblW w:w="5000" w:type="pct"/>
        <w:tblBorders>
          <w:top w:val="single" w:color="00695C" w:sz="12"/>
          <w:left w:val="nil"/>
          <w:bottom w:val="single" w:color="00695C" w:sz="12"/>
          <w:right w:val="nil"/>
          <w:insideH w:val="single" w:color="E0E0E0" w:sz="4"/>
          <w:insideV w:val="nil"/>
        </w:tblBorders>
      </w:tblPr>
      <w:tblGrid>
        <w:gridCol w:w="1500"/>
        <w:gridCol w:w="2000"/>
        <w:gridCol w:w="2000"/>
        <w:gridCol w:w="2500"/>
      </w:tblGrid>
      <w:tr>
        <w:trPr>
          <w:tblHeader/>
        </w:trPr>
        <w:tc>
          <w:tcPr>
            <w:tcW w:w="0" w:type="auto"/>
            <w:tcBorders>
              <w:bottom w:val="single" w:color="00695C" w:sz="8"/>
            </w:tcBorders>
            <w:shd w:val="clear" w:fill="E0F2F1"/>
            <w:vAlign w:val="center"/>
          </w:tcPr>
          <w:p>
            <w:pPr>
              <w:spacing w:before="100" w:after="100"/>
              <w:jc w:val="center"/>
            </w:pPr>
            <w:r>
              <w:rPr>
                <w:b/>
                <w:color w:val="212121"/>
                <w:sz w:val="21"/>
              </w:rPr>
              <w:t>Quartile</w:t>
            </w:r>
          </w:p>
        </w:tc>
        <w:tc>
          <w:tcPr>
            <w:tcW w:w="0" w:type="auto"/>
            <w:tcBorders>
              <w:bottom w:val="single" w:color="00695C" w:sz="8"/>
            </w:tcBorders>
            <w:shd w:val="clear" w:fill="E0F2F1"/>
            <w:vAlign w:val="center"/>
          </w:tcPr>
          <w:p>
            <w:pPr>
              <w:spacing w:before="100" w:after="100"/>
              <w:jc w:val="center"/>
            </w:pPr>
            <w:r>
              <w:rPr>
                <w:b/>
                <w:color w:val="212121"/>
                <w:sz w:val="21"/>
              </w:rPr>
              <w:t>Acceptance Rate</w:t>
            </w:r>
          </w:p>
        </w:tc>
        <w:tc>
          <w:tcPr>
            <w:tcW w:w="0" w:type="auto"/>
            <w:tcBorders>
              <w:bottom w:val="single" w:color="00695C" w:sz="8"/>
            </w:tcBorders>
            <w:shd w:val="clear" w:fill="E0F2F1"/>
            <w:vAlign w:val="center"/>
          </w:tcPr>
          <w:p>
            <w:pPr>
              <w:spacing w:before="100" w:after="100"/>
              <w:jc w:val="center"/>
            </w:pPr>
            <w:r>
              <w:rPr>
                <w:b/>
                <w:color w:val="212121"/>
                <w:sz w:val="21"/>
              </w:rPr>
              <w:t>Review Timeline</w:t>
            </w:r>
          </w:p>
        </w:tc>
        <w:tc>
          <w:tcPr>
            <w:tcW w:w="0" w:type="auto"/>
            <w:tcBorders>
              <w:bottom w:val="single" w:color="00695C" w:sz="8"/>
            </w:tcBorders>
            <w:shd w:val="clear" w:fill="E0F2F1"/>
            <w:vAlign w:val="center"/>
          </w:tcPr>
          <w:p>
            <w:pPr>
              <w:spacing w:before="100" w:after="100"/>
              <w:jc w:val="center"/>
            </w:pPr>
            <w:r>
              <w:rPr>
                <w:b/>
                <w:color w:val="212121"/>
                <w:sz w:val="21"/>
              </w:rPr>
              <w:t>Publication Timeline</w:t>
            </w:r>
          </w:p>
        </w:tc>
      </w:tr>
      <w:tr>
        <w:tc>
          <w:tcPr>
            <w:tcW w:w="0" w:type="auto"/>
            <w:vAlign w:val="center"/>
          </w:tcPr>
          <w:p>
            <w:pPr>
              <w:spacing w:before="80" w:after="80"/>
              <w:jc w:val="left"/>
            </w:pPr>
            <w:r>
              <w:rPr>
                <w:color w:val="212121"/>
                <w:sz w:val="20"/>
              </w:rPr>
              <w:t>Q1</w:t>
            </w:r>
          </w:p>
        </w:tc>
        <w:tc>
          <w:tcPr>
            <w:tcW w:w="0" w:type="auto"/>
            <w:vAlign w:val="center"/>
          </w:tcPr>
          <w:p>
            <w:pPr>
              <w:spacing w:before="80" w:after="80"/>
              <w:jc w:val="center"/>
            </w:pPr>
            <w:r>
              <w:rPr>
                <w:color w:val="212121"/>
                <w:sz w:val="20"/>
              </w:rPr>
              <w:t>&lt; 10-15%</w:t>
            </w:r>
          </w:p>
        </w:tc>
        <w:tc>
          <w:tcPr>
            <w:tcW w:w="0" w:type="auto"/>
            <w:vAlign w:val="center"/>
          </w:tcPr>
          <w:p>
            <w:pPr>
              <w:spacing w:before="80" w:after="80"/>
              <w:jc w:val="center"/>
            </w:pPr>
            <w:r>
              <w:rPr>
                <w:color w:val="212121"/>
                <w:sz w:val="20"/>
              </w:rPr>
              <w:t>3-6 months</w:t>
            </w:r>
          </w:p>
        </w:tc>
        <w:tc>
          <w:tcPr>
            <w:tcW w:w="0" w:type="auto"/>
            <w:vAlign w:val="center"/>
          </w:tcPr>
          <w:p>
            <w:pPr>
              <w:spacing w:before="80" w:after="80"/>
              <w:jc w:val="center"/>
            </w:pPr>
            <w:r>
              <w:rPr>
                <w:color w:val="212121"/>
                <w:sz w:val="20"/>
              </w:rPr>
              <w:t>6-12 months</w:t>
            </w:r>
          </w:p>
        </w:tc>
      </w:tr>
      <w:tr>
        <w:tc>
          <w:tcPr>
            <w:tcW w:w="0" w:type="auto"/>
            <w:vAlign w:val="center"/>
          </w:tcPr>
          <w:p>
            <w:pPr>
              <w:spacing w:before="80" w:after="80"/>
              <w:jc w:val="left"/>
            </w:pPr>
            <w:r>
              <w:rPr>
                <w:color w:val="212121"/>
                <w:sz w:val="20"/>
              </w:rPr>
              <w:t>Q2</w:t>
            </w:r>
          </w:p>
        </w:tc>
        <w:tc>
          <w:tcPr>
            <w:tcW w:w="0" w:type="auto"/>
            <w:vAlign w:val="center"/>
          </w:tcPr>
          <w:p>
            <w:pPr>
              <w:spacing w:before="80" w:after="80"/>
              <w:jc w:val="center"/>
            </w:pPr>
            <w:r>
              <w:rPr>
                <w:color w:val="212121"/>
                <w:sz w:val="20"/>
              </w:rPr>
              <w:t>15-25%</w:t>
            </w:r>
          </w:p>
        </w:tc>
        <w:tc>
          <w:tcPr>
            <w:tcW w:w="0" w:type="auto"/>
            <w:vAlign w:val="center"/>
          </w:tcPr>
          <w:p>
            <w:pPr>
              <w:spacing w:before="80" w:after="80"/>
              <w:jc w:val="center"/>
            </w:pPr>
            <w:r>
              <w:rPr>
                <w:color w:val="212121"/>
                <w:sz w:val="20"/>
              </w:rPr>
              <w:t>6-12 weeks</w:t>
            </w:r>
          </w:p>
        </w:tc>
        <w:tc>
          <w:tcPr>
            <w:tcW w:w="0" w:type="auto"/>
            <w:vAlign w:val="center"/>
          </w:tcPr>
          <w:p>
            <w:pPr>
              <w:spacing w:before="80" w:after="80"/>
              <w:jc w:val="center"/>
            </w:pPr>
            <w:r>
              <w:rPr>
                <w:color w:val="212121"/>
                <w:sz w:val="20"/>
              </w:rPr>
              <w:t>3-6 months</w:t>
            </w:r>
          </w:p>
        </w:tc>
      </w:tr>
      <w:tr>
        <w:tc>
          <w:tcPr>
            <w:tcW w:w="0" w:type="auto"/>
            <w:vAlign w:val="center"/>
          </w:tcPr>
          <w:p>
            <w:pPr>
              <w:spacing w:before="80" w:after="80"/>
              <w:jc w:val="left"/>
            </w:pPr>
            <w:r>
              <w:rPr>
                <w:color w:val="212121"/>
                <w:sz w:val="20"/>
              </w:rPr>
              <w:t>Q3</w:t>
            </w:r>
          </w:p>
        </w:tc>
        <w:tc>
          <w:tcPr>
            <w:tcW w:w="0" w:type="auto"/>
            <w:vAlign w:val="center"/>
          </w:tcPr>
          <w:p>
            <w:pPr>
              <w:spacing w:before="80" w:after="80"/>
              <w:jc w:val="center"/>
            </w:pPr>
            <w:r>
              <w:rPr>
                <w:color w:val="212121"/>
                <w:sz w:val="20"/>
              </w:rPr>
              <w:t>25-40%</w:t>
            </w:r>
          </w:p>
        </w:tc>
        <w:tc>
          <w:tcPr>
            <w:tcW w:w="0" w:type="auto"/>
            <w:vAlign w:val="center"/>
          </w:tcPr>
          <w:p>
            <w:pPr>
              <w:spacing w:before="80" w:after="80"/>
              <w:jc w:val="center"/>
            </w:pPr>
            <w:r>
              <w:rPr>
                <w:color w:val="212121"/>
                <w:sz w:val="20"/>
              </w:rPr>
              <w:t>4-8 weeks</w:t>
            </w:r>
          </w:p>
        </w:tc>
        <w:tc>
          <w:tcPr>
            <w:tcW w:w="0" w:type="auto"/>
            <w:vAlign w:val="center"/>
          </w:tcPr>
          <w:p>
            <w:pPr>
              <w:spacing w:before="80" w:after="80"/>
              <w:jc w:val="center"/>
            </w:pPr>
            <w:r>
              <w:rPr>
                <w:color w:val="212121"/>
                <w:sz w:val="20"/>
              </w:rPr>
              <w:t>2-4 months</w:t>
            </w:r>
          </w:p>
        </w:tc>
      </w:tr>
      <w:tr>
        <w:tc>
          <w:tcPr>
            <w:tcW w:w="0" w:type="auto"/>
            <w:vAlign w:val="center"/>
          </w:tcPr>
          <w:p>
            <w:pPr>
              <w:spacing w:before="80" w:after="80"/>
              <w:jc w:val="left"/>
            </w:pPr>
            <w:r>
              <w:rPr>
                <w:color w:val="212121"/>
                <w:sz w:val="20"/>
              </w:rPr>
              <w:t>Q4</w:t>
            </w:r>
          </w:p>
        </w:tc>
        <w:tc>
          <w:tcPr>
            <w:tcW w:w="0" w:type="auto"/>
            <w:vAlign w:val="center"/>
          </w:tcPr>
          <w:p>
            <w:pPr>
              <w:spacing w:before="80" w:after="80"/>
              <w:jc w:val="center"/>
            </w:pPr>
            <w:r>
              <w:rPr>
                <w:color w:val="212121"/>
                <w:sz w:val="20"/>
              </w:rPr>
              <w:t>40-60%</w:t>
            </w:r>
          </w:p>
        </w:tc>
        <w:tc>
          <w:tcPr>
            <w:tcW w:w="0" w:type="auto"/>
            <w:vAlign w:val="center"/>
          </w:tcPr>
          <w:p>
            <w:pPr>
              <w:spacing w:before="80" w:after="80"/>
              <w:jc w:val="center"/>
            </w:pPr>
            <w:r>
              <w:rPr>
                <w:color w:val="212121"/>
                <w:sz w:val="20"/>
              </w:rPr>
              <w:t>2-6 weeks</w:t>
            </w:r>
          </w:p>
        </w:tc>
        <w:tc>
          <w:tcPr>
            <w:tcW w:w="0" w:type="auto"/>
            <w:vAlign w:val="center"/>
          </w:tcPr>
          <w:p>
            <w:pPr>
              <w:spacing w:before="80" w:after="80"/>
              <w:jc w:val="center"/>
            </w:pPr>
            <w:r>
              <w:rPr>
                <w:color w:val="212121"/>
                <w:sz w:val="20"/>
              </w:rPr>
              <w:t>1-3 months</w:t>
            </w:r>
          </w:p>
        </w:tc>
      </w:tr>
    </w:tbl>
    <w:p>
      <w:pPr>
        <w:pStyle w:val="Caption"/>
      </w:pPr>
      <w:r>
        <w:t>Table 2: Q1-Q4 Comparison: Acceptance Rates and Timelines</w:t>
      </w:r>
    </w:p>
    <w:p>
      <w:r>
        <w:t>These statistics demonstrate why Q2 and Q3 journals are strategically valuable. While Q1 journals offer maximum prestige, the combination of faster timelines and higher acceptance rates in Q2/Q3 journals makes them practical choices for many research situations.</w:t>
      </w:r>
    </w:p>
    <w:p>
      <w:pPr>
        <w:pStyle w:val="Heading1"/>
      </w:pPr>
      <w:r>
        <w:t>Chapter 3: Prominent Q2 &amp; Q3 Journals by Field</w:t>
      </w:r>
    </w:p>
    <w:p>
      <w:r>
        <w:t>This chapter highlights representative Q2 and Q3 journals across major academic disciplines. Note that quartile rankings are updated annually and may vary by subject category.</w:t>
      </w:r>
    </w:p>
    <w:p>
      <w:pPr>
        <w:pStyle w:val="Heading2"/>
      </w:pPr>
      <w:r>
        <w:t>3.1 Computer Science and Engineering</w:t>
      </w:r>
    </w:p>
    <w:p>
      <w:r>
        <w:t>Computer Science has numerous high-quality Q2 journals that balance rigor with accessibility:</w:t>
      </w:r>
    </w:p>
    <w:p>
      <w:pPr>
        <w:pStyle w:val="Heading3"/>
      </w:pPr>
      <w:r>
        <w:t>Notable Q2 Journals in Computer Science</w:t>
      </w:r>
    </w:p>
    <w:tbl>
      <w:tblPr>
        <w:tblW w:w="5000" w:type="pct"/>
        <w:tblBorders>
          <w:top w:val="single" w:color="00695C" w:sz="12"/>
          <w:left w:val="nil"/>
          <w:bottom w:val="single" w:color="00695C" w:sz="12"/>
          <w:right w:val="nil"/>
          <w:insideH w:val="single" w:color="E0E0E0" w:sz="4"/>
          <w:insideV w:val="nil"/>
        </w:tblBorders>
      </w:tblPr>
      <w:tblGrid>
        <w:gridCol w:w="4000"/>
        <w:gridCol w:w="2000"/>
        <w:gridCol w:w="1000"/>
        <w:gridCol w:w="2000"/>
      </w:tblGrid>
      <w:tr>
        <w:trPr>
          <w:tblHeader/>
        </w:trPr>
        <w:tc>
          <w:tcPr>
            <w:tcW w:w="0" w:type="auto"/>
            <w:tcBorders>
              <w:bottom w:val="single" w:color="00695C" w:sz="8"/>
            </w:tcBorders>
            <w:shd w:val="clear" w:fill="E0F2F1"/>
            <w:vAlign w:val="center"/>
          </w:tcPr>
          <w:p>
            <w:pPr>
              <w:spacing w:before="100" w:after="100"/>
              <w:jc w:val="center"/>
            </w:pPr>
            <w:r>
              <w:rPr>
                <w:b/>
                <w:color w:val="212121"/>
                <w:sz w:val="21"/>
              </w:rPr>
              <w:t>Journal Name</w:t>
            </w:r>
          </w:p>
        </w:tc>
        <w:tc>
          <w:tcPr>
            <w:tcW w:w="0" w:type="auto"/>
            <w:tcBorders>
              <w:bottom w:val="single" w:color="00695C" w:sz="8"/>
            </w:tcBorders>
            <w:shd w:val="clear" w:fill="E0F2F1"/>
            <w:vAlign w:val="center"/>
          </w:tcPr>
          <w:p>
            <w:pPr>
              <w:spacing w:before="100" w:after="100"/>
              <w:jc w:val="center"/>
            </w:pPr>
            <w:r>
              <w:rPr>
                <w:b/>
                <w:color w:val="212121"/>
                <w:sz w:val="21"/>
              </w:rPr>
              <w:t>Publisher</w:t>
            </w:r>
          </w:p>
        </w:tc>
        <w:tc>
          <w:tcPr>
            <w:tcW w:w="0" w:type="auto"/>
            <w:tcBorders>
              <w:bottom w:val="single" w:color="00695C" w:sz="8"/>
            </w:tcBorders>
            <w:shd w:val="clear" w:fill="E0F2F1"/>
            <w:vAlign w:val="center"/>
          </w:tcPr>
          <w:p>
            <w:pPr>
              <w:spacing w:before="100" w:after="100"/>
              <w:jc w:val="center"/>
            </w:pPr>
            <w:r>
              <w:rPr>
                <w:b/>
                <w:color w:val="212121"/>
                <w:sz w:val="21"/>
              </w:rPr>
              <w:t>Quartile</w:t>
            </w:r>
          </w:p>
        </w:tc>
        <w:tc>
          <w:tcPr>
            <w:tcW w:w="0" w:type="auto"/>
            <w:tcBorders>
              <w:bottom w:val="single" w:color="00695C" w:sz="8"/>
            </w:tcBorders>
            <w:shd w:val="clear" w:fill="E0F2F1"/>
            <w:vAlign w:val="center"/>
          </w:tcPr>
          <w:p>
            <w:pPr>
              <w:spacing w:before="100" w:after="100"/>
              <w:jc w:val="center"/>
            </w:pPr>
            <w:r>
              <w:rPr>
                <w:b/>
                <w:color w:val="212121"/>
                <w:sz w:val="21"/>
              </w:rPr>
              <w:t>Focus Area</w:t>
            </w:r>
          </w:p>
        </w:tc>
      </w:tr>
      <w:tr>
        <w:tc>
          <w:tcPr>
            <w:tcW w:w="0" w:type="auto"/>
            <w:vAlign w:val="center"/>
          </w:tcPr>
          <w:p>
            <w:pPr>
              <w:spacing w:before="80" w:after="80"/>
              <w:jc w:val="left"/>
            </w:pPr>
            <w:r>
              <w:rPr>
                <w:color w:val="212121"/>
                <w:sz w:val="20"/>
              </w:rPr>
              <w:t>SN Computer Science</w:t>
            </w:r>
          </w:p>
        </w:tc>
        <w:tc>
          <w:tcPr>
            <w:tcW w:w="0" w:type="auto"/>
            <w:vAlign w:val="center"/>
          </w:tcPr>
          <w:p>
            <w:pPr>
              <w:spacing w:before="80" w:after="80"/>
              <w:jc w:val="center"/>
            </w:pPr>
            <w:r>
              <w:rPr>
                <w:color w:val="212121"/>
                <w:sz w:val="20"/>
              </w:rPr>
              <w:t>Springer</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General CS</w:t>
            </w:r>
          </w:p>
        </w:tc>
      </w:tr>
      <w:tr>
        <w:tc>
          <w:tcPr>
            <w:tcW w:w="0" w:type="auto"/>
            <w:vAlign w:val="center"/>
          </w:tcPr>
          <w:p>
            <w:pPr>
              <w:spacing w:before="80" w:after="80"/>
              <w:jc w:val="left"/>
            </w:pPr>
            <w:r>
              <w:rPr>
                <w:color w:val="212121"/>
                <w:sz w:val="20"/>
              </w:rPr>
              <w:t>Frontiers in Computer Science</w:t>
            </w:r>
          </w:p>
        </w:tc>
        <w:tc>
          <w:tcPr>
            <w:tcW w:w="0" w:type="auto"/>
            <w:vAlign w:val="center"/>
          </w:tcPr>
          <w:p>
            <w:pPr>
              <w:spacing w:before="80" w:after="80"/>
              <w:jc w:val="center"/>
            </w:pPr>
            <w:r>
              <w:rPr>
                <w:color w:val="212121"/>
                <w:sz w:val="20"/>
              </w:rPr>
              <w:t>Frontiers</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Interdisciplinary</w:t>
            </w:r>
          </w:p>
        </w:tc>
      </w:tr>
      <w:tr>
        <w:tc>
          <w:tcPr>
            <w:tcW w:w="0" w:type="auto"/>
            <w:vAlign w:val="center"/>
          </w:tcPr>
          <w:p>
            <w:pPr>
              <w:spacing w:before="80" w:after="80"/>
              <w:jc w:val="left"/>
            </w:pPr>
            <w:r>
              <w:rPr>
                <w:color w:val="212121"/>
                <w:sz w:val="20"/>
              </w:rPr>
              <w:t>Computers and Graphics</w:t>
            </w:r>
          </w:p>
        </w:tc>
        <w:tc>
          <w:tcPr>
            <w:tcW w:w="0" w:type="auto"/>
            <w:vAlign w:val="center"/>
          </w:tcPr>
          <w:p>
            <w:pPr>
              <w:spacing w:before="80" w:after="80"/>
              <w:jc w:val="center"/>
            </w:pPr>
            <w:r>
              <w:rPr>
                <w:color w:val="212121"/>
                <w:sz w:val="20"/>
              </w:rPr>
              <w:t>Elsevier</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Graphics</w:t>
            </w:r>
          </w:p>
        </w:tc>
      </w:tr>
      <w:tr>
        <w:tc>
          <w:tcPr>
            <w:tcW w:w="0" w:type="auto"/>
            <w:vAlign w:val="center"/>
          </w:tcPr>
          <w:p>
            <w:pPr>
              <w:spacing w:before="80" w:after="80"/>
              <w:jc w:val="left"/>
            </w:pPr>
            <w:r>
              <w:rPr>
                <w:color w:val="212121"/>
                <w:sz w:val="20"/>
              </w:rPr>
              <w:t>Journal of Computer Science and Technology</w:t>
            </w:r>
          </w:p>
        </w:tc>
        <w:tc>
          <w:tcPr>
            <w:tcW w:w="0" w:type="auto"/>
            <w:vAlign w:val="center"/>
          </w:tcPr>
          <w:p>
            <w:pPr>
              <w:spacing w:before="80" w:after="80"/>
              <w:jc w:val="center"/>
            </w:pPr>
            <w:r>
              <w:rPr>
                <w:color w:val="212121"/>
                <w:sz w:val="20"/>
              </w:rPr>
              <w:t>Springer</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General CS</w:t>
            </w:r>
          </w:p>
        </w:tc>
      </w:tr>
      <w:tr>
        <w:tc>
          <w:tcPr>
            <w:tcW w:w="0" w:type="auto"/>
            <w:vAlign w:val="center"/>
          </w:tcPr>
          <w:p>
            <w:pPr>
              <w:spacing w:before="80" w:after="80"/>
              <w:jc w:val="left"/>
            </w:pPr>
            <w:r>
              <w:rPr>
                <w:color w:val="212121"/>
                <w:sz w:val="20"/>
              </w:rPr>
              <w:t>Semantic Web</w:t>
            </w:r>
          </w:p>
        </w:tc>
        <w:tc>
          <w:tcPr>
            <w:tcW w:w="0" w:type="auto"/>
            <w:vAlign w:val="center"/>
          </w:tcPr>
          <w:p>
            <w:pPr>
              <w:spacing w:before="80" w:after="80"/>
              <w:jc w:val="center"/>
            </w:pPr>
            <w:r>
              <w:rPr>
                <w:color w:val="212121"/>
                <w:sz w:val="20"/>
              </w:rPr>
              <w:t>IOS Press</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Web Technologies</w:t>
            </w:r>
          </w:p>
        </w:tc>
      </w:tr>
      <w:tr>
        <w:tc>
          <w:tcPr>
            <w:tcW w:w="0" w:type="auto"/>
            <w:vAlign w:val="center"/>
          </w:tcPr>
          <w:p>
            <w:pPr>
              <w:spacing w:before="80" w:after="80"/>
              <w:jc w:val="left"/>
            </w:pPr>
            <w:r>
              <w:rPr>
                <w:color w:val="212121"/>
                <w:sz w:val="20"/>
              </w:rPr>
              <w:t>Advanced Robotics</w:t>
            </w:r>
          </w:p>
        </w:tc>
        <w:tc>
          <w:tcPr>
            <w:tcW w:w="0" w:type="auto"/>
            <w:vAlign w:val="center"/>
          </w:tcPr>
          <w:p>
            <w:pPr>
              <w:spacing w:before="80" w:after="80"/>
              <w:jc w:val="center"/>
            </w:pPr>
            <w:r>
              <w:rPr>
                <w:color w:val="212121"/>
                <w:sz w:val="20"/>
              </w:rPr>
              <w:t>Taylor &amp; Francis</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Robotics</w:t>
            </w:r>
          </w:p>
        </w:tc>
      </w:tr>
      <w:tr>
        <w:tc>
          <w:tcPr>
            <w:tcW w:w="0" w:type="auto"/>
            <w:vAlign w:val="center"/>
          </w:tcPr>
          <w:p>
            <w:pPr>
              <w:spacing w:before="80" w:after="80"/>
              <w:jc w:val="left"/>
            </w:pPr>
            <w:r>
              <w:rPr>
                <w:color w:val="212121"/>
                <w:sz w:val="20"/>
              </w:rPr>
              <w:t>Computer Speech and Language</w:t>
            </w:r>
          </w:p>
        </w:tc>
        <w:tc>
          <w:tcPr>
            <w:tcW w:w="0" w:type="auto"/>
            <w:vAlign w:val="center"/>
          </w:tcPr>
          <w:p>
            <w:pPr>
              <w:spacing w:before="80" w:after="80"/>
              <w:jc w:val="center"/>
            </w:pPr>
            <w:r>
              <w:rPr>
                <w:color w:val="212121"/>
                <w:sz w:val="20"/>
              </w:rPr>
              <w:t>Academic Press</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NLP</w:t>
            </w:r>
          </w:p>
        </w:tc>
      </w:tr>
      <w:tr>
        <w:tc>
          <w:tcPr>
            <w:tcW w:w="0" w:type="auto"/>
            <w:vAlign w:val="center"/>
          </w:tcPr>
          <w:p>
            <w:pPr>
              <w:spacing w:before="80" w:after="80"/>
              <w:jc w:val="left"/>
            </w:pPr>
            <w:r>
              <w:rPr>
                <w:color w:val="212121"/>
                <w:sz w:val="20"/>
              </w:rPr>
              <w:t>IEEE Computer Graphics and Applications</w:t>
            </w:r>
          </w:p>
        </w:tc>
        <w:tc>
          <w:tcPr>
            <w:tcW w:w="0" w:type="auto"/>
            <w:vAlign w:val="center"/>
          </w:tcPr>
          <w:p>
            <w:pPr>
              <w:spacing w:before="80" w:after="80"/>
              <w:jc w:val="center"/>
            </w:pPr>
            <w:r>
              <w:rPr>
                <w:color w:val="212121"/>
                <w:sz w:val="20"/>
              </w:rPr>
              <w:t>IEEE</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Graphics</w:t>
            </w:r>
          </w:p>
        </w:tc>
      </w:tr>
      <w:tr>
        <w:tc>
          <w:tcPr>
            <w:tcW w:w="0" w:type="auto"/>
            <w:vAlign w:val="center"/>
          </w:tcPr>
          <w:p>
            <w:pPr>
              <w:spacing w:before="80" w:after="80"/>
              <w:jc w:val="left"/>
            </w:pPr>
            <w:r>
              <w:rPr>
                <w:color w:val="212121"/>
                <w:sz w:val="20"/>
              </w:rPr>
              <w:t>Computing (Vienna)</w:t>
            </w:r>
          </w:p>
        </w:tc>
        <w:tc>
          <w:tcPr>
            <w:tcW w:w="0" w:type="auto"/>
            <w:vAlign w:val="center"/>
          </w:tcPr>
          <w:p>
            <w:pPr>
              <w:spacing w:before="80" w:after="80"/>
              <w:jc w:val="center"/>
            </w:pPr>
            <w:r>
              <w:rPr>
                <w:color w:val="212121"/>
                <w:sz w:val="20"/>
              </w:rPr>
              <w:t>Springer</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General CS</w:t>
            </w:r>
          </w:p>
        </w:tc>
      </w:tr>
      <w:tr>
        <w:tc>
          <w:tcPr>
            <w:tcW w:w="0" w:type="auto"/>
            <w:vAlign w:val="center"/>
          </w:tcPr>
          <w:p>
            <w:pPr>
              <w:spacing w:before="80" w:after="80"/>
              <w:jc w:val="left"/>
            </w:pPr>
            <w:r>
              <w:rPr>
                <w:color w:val="212121"/>
                <w:sz w:val="20"/>
              </w:rPr>
              <w:t>Visual Computer</w:t>
            </w:r>
          </w:p>
        </w:tc>
        <w:tc>
          <w:tcPr>
            <w:tcW w:w="0" w:type="auto"/>
            <w:vAlign w:val="center"/>
          </w:tcPr>
          <w:p>
            <w:pPr>
              <w:spacing w:before="80" w:after="80"/>
              <w:jc w:val="center"/>
            </w:pPr>
            <w:r>
              <w:rPr>
                <w:color w:val="212121"/>
                <w:sz w:val="20"/>
              </w:rPr>
              <w:t>Springer</w:t>
            </w:r>
          </w:p>
        </w:tc>
        <w:tc>
          <w:tcPr>
            <w:tcW w:w="0" w:type="auto"/>
            <w:vAlign w:val="center"/>
          </w:tcPr>
          <w:p>
            <w:pPr>
              <w:spacing w:before="80" w:after="80"/>
              <w:jc w:val="center"/>
            </w:pPr>
            <w:r>
              <w:rPr>
                <w:color w:val="212121"/>
                <w:sz w:val="20"/>
              </w:rPr>
              <w:t>Q2</w:t>
            </w:r>
          </w:p>
        </w:tc>
        <w:tc>
          <w:tcPr>
            <w:tcW w:w="0" w:type="auto"/>
            <w:vAlign w:val="center"/>
          </w:tcPr>
          <w:p>
            <w:pPr>
              <w:spacing w:before="80" w:after="80"/>
              <w:jc w:val="center"/>
            </w:pPr>
            <w:r>
              <w:rPr>
                <w:color w:val="212121"/>
                <w:sz w:val="20"/>
              </w:rPr>
              <w:t>Graphics/Vision</w:t>
            </w:r>
          </w:p>
        </w:tc>
      </w:tr>
    </w:tbl>
    <w:p>
      <w:pPr>
        <w:pStyle w:val="Caption"/>
      </w:pPr>
      <w:r>
        <w:t>Table 3: Representative Q2 Journals in Computer Science</w:t>
      </w:r>
    </w:p>
    <w:p>
      <w:pPr>
        <w:pStyle w:val="Heading3"/>
      </w:pPr>
      <w:r>
        <w:t>Notable Q3 Journals in Computer Science</w:t>
      </w:r>
    </w:p>
    <w:p>
      <w:r>
        <w:t>Q3 journals in computer science often focus on specialized areas, regional research, or emerging topics:</w:t>
      </w:r>
    </w:p>
    <w:p>
      <w:pPr>
        <w:numPr>
          <w:ilvl w:val="0"/>
          <w:numId w:val="2"/>
        </w:numPr>
        <w:spacing w:after="120"/>
      </w:pPr>
      <w:r>
        <w:rPr>
          <w:b/>
        </w:rPr>
        <w:t>Journal of Imaging</w:t>
      </w:r>
      <w:r>
        <w:t>: MDPI - Open access imaging research</w:t>
      </w:r>
    </w:p>
    <w:p>
      <w:pPr>
        <w:numPr>
          <w:ilvl w:val="0"/>
          <w:numId w:val="2"/>
        </w:numPr>
        <w:spacing w:after="120"/>
      </w:pPr>
      <w:r>
        <w:rPr>
          <w:b/>
        </w:rPr>
        <w:t>Computers</w:t>
      </w:r>
      <w:r>
        <w:t>: MDPI - Computer systems and applications</w:t>
      </w:r>
    </w:p>
    <w:p>
      <w:pPr>
        <w:numPr>
          <w:ilvl w:val="0"/>
          <w:numId w:val="2"/>
        </w:numPr>
        <w:spacing w:after="120"/>
      </w:pPr>
      <w:r>
        <w:rPr>
          <w:b/>
        </w:rPr>
        <w:t>Informatics</w:t>
      </w:r>
      <w:r>
        <w:t>: MDPI - Information science and technology</w:t>
      </w:r>
    </w:p>
    <w:p>
      <w:pPr>
        <w:numPr>
          <w:ilvl w:val="0"/>
          <w:numId w:val="2"/>
        </w:numPr>
        <w:spacing w:after="120"/>
      </w:pPr>
      <w:r>
        <w:rPr>
          <w:b/>
        </w:rPr>
        <w:t>Multimodal Technologies and Interaction</w:t>
      </w:r>
      <w:r>
        <w:t>: MDPI - HCI and interaction</w:t>
      </w:r>
    </w:p>
    <w:p>
      <w:pPr>
        <w:numPr>
          <w:ilvl w:val="0"/>
          <w:numId w:val="2"/>
        </w:numPr>
        <w:spacing w:after="120"/>
      </w:pPr>
      <w:r>
        <w:rPr>
          <w:b/>
        </w:rPr>
        <w:t>Journal of Computer Languages</w:t>
      </w:r>
      <w:r>
        <w:t>: Elsevier - Programming languages</w:t>
      </w:r>
    </w:p>
    <w:p>
      <w:pPr>
        <w:pStyle w:val="Heading2"/>
      </w:pPr>
      <w:r>
        <w:t>3.2 Medicine and Healthcare</w:t>
      </w:r>
    </w:p>
    <w:p>
      <w:r>
        <w:t>Medical Q2 and Q3 journals cover a wide range of specialties and often focus on clinical applications:</w:t>
      </w:r>
    </w:p>
    <w:p>
      <w:pPr>
        <w:pStyle w:val="Heading3"/>
      </w:pPr>
      <w:r>
        <w:t>Q2 Journals in Medicine</w:t>
      </w:r>
    </w:p>
    <w:p>
      <w:r>
        <w:t>Q2 medical journals include respected specialty publications such as:</w:t>
      </w:r>
    </w:p>
    <w:p>
      <w:pPr>
        <w:numPr>
          <w:ilvl w:val="0"/>
          <w:numId w:val="2"/>
        </w:numPr>
        <w:spacing w:after="120"/>
      </w:pPr>
      <w:r>
        <w:rPr>
          <w:b/>
        </w:rPr>
        <w:t>Echocardiography</w:t>
      </w:r>
      <w:r>
        <w:t>: Wiley - Cardiac imaging journal</w:t>
      </w:r>
    </w:p>
    <w:p>
      <w:pPr>
        <w:numPr>
          <w:ilvl w:val="0"/>
          <w:numId w:val="2"/>
        </w:numPr>
        <w:spacing w:after="120"/>
      </w:pPr>
      <w:r>
        <w:rPr>
          <w:b/>
        </w:rPr>
        <w:t>Journal of Biomechanical Engineering</w:t>
      </w:r>
      <w:r>
        <w:t>: ASME - Biomechanics research</w:t>
      </w:r>
    </w:p>
    <w:p>
      <w:pPr>
        <w:numPr>
          <w:ilvl w:val="0"/>
          <w:numId w:val="2"/>
        </w:numPr>
        <w:spacing w:after="120"/>
      </w:pPr>
      <w:r>
        <w:rPr>
          <w:b/>
        </w:rPr>
        <w:t>Burns Open</w:t>
      </w:r>
      <w:r>
        <w:t>: Elsevier - Burn care and research</w:t>
      </w:r>
    </w:p>
    <w:p>
      <w:pPr>
        <w:numPr>
          <w:ilvl w:val="0"/>
          <w:numId w:val="2"/>
        </w:numPr>
        <w:spacing w:after="120"/>
      </w:pPr>
      <w:r>
        <w:rPr>
          <w:b/>
        </w:rPr>
        <w:t>Journal of Microbiological Methods</w:t>
      </w:r>
      <w:r>
        <w:t>: Elsevier - Methodology focused</w:t>
      </w:r>
    </w:p>
    <w:p>
      <w:pPr>
        <w:numPr>
          <w:ilvl w:val="0"/>
          <w:numId w:val="2"/>
        </w:numPr>
        <w:spacing w:after="120"/>
      </w:pPr>
      <w:r>
        <w:rPr>
          <w:b/>
        </w:rPr>
        <w:t>Contrast Media and Molecular Imaging</w:t>
      </w:r>
      <w:r>
        <w:t>: Hindawi - Imaging research</w:t>
      </w:r>
    </w:p>
    <w:p>
      <w:pPr>
        <w:pStyle w:val="Heading3"/>
      </w:pPr>
      <w:r>
        <w:t>Q3 Journals in Medicine</w:t>
      </w:r>
    </w:p>
    <w:tbl>
      <w:tblPr>
        <w:tblW w:w="5000" w:type="pct"/>
        <w:tblBorders>
          <w:top w:val="single" w:color="00695C" w:sz="12"/>
          <w:left w:val="nil"/>
          <w:bottom w:val="single" w:color="00695C" w:sz="12"/>
          <w:right w:val="nil"/>
          <w:insideH w:val="single" w:color="E0E0E0" w:sz="4"/>
          <w:insideV w:val="nil"/>
        </w:tblBorders>
      </w:tblPr>
      <w:tblGrid>
        <w:gridCol w:w="4000"/>
        <w:gridCol w:w="2000"/>
        <w:gridCol w:w="1000"/>
        <w:gridCol w:w="2000"/>
      </w:tblGrid>
      <w:tr>
        <w:trPr>
          <w:tblHeader/>
        </w:trPr>
        <w:tc>
          <w:tcPr>
            <w:tcW w:w="0" w:type="auto"/>
            <w:tcBorders>
              <w:bottom w:val="single" w:color="00695C" w:sz="8"/>
            </w:tcBorders>
            <w:shd w:val="clear" w:fill="E0F2F1"/>
            <w:vAlign w:val="center"/>
          </w:tcPr>
          <w:p>
            <w:pPr>
              <w:spacing w:before="100" w:after="100"/>
              <w:jc w:val="center"/>
            </w:pPr>
            <w:r>
              <w:rPr>
                <w:b/>
                <w:color w:val="212121"/>
                <w:sz w:val="21"/>
              </w:rPr>
              <w:t>Journal Name</w:t>
            </w:r>
          </w:p>
        </w:tc>
        <w:tc>
          <w:tcPr>
            <w:tcW w:w="0" w:type="auto"/>
            <w:tcBorders>
              <w:bottom w:val="single" w:color="00695C" w:sz="8"/>
            </w:tcBorders>
            <w:shd w:val="clear" w:fill="E0F2F1"/>
            <w:vAlign w:val="center"/>
          </w:tcPr>
          <w:p>
            <w:pPr>
              <w:spacing w:before="100" w:after="100"/>
              <w:jc w:val="center"/>
            </w:pPr>
            <w:r>
              <w:rPr>
                <w:b/>
                <w:color w:val="212121"/>
                <w:sz w:val="21"/>
              </w:rPr>
              <w:t>Publisher</w:t>
            </w:r>
          </w:p>
        </w:tc>
        <w:tc>
          <w:tcPr>
            <w:tcW w:w="0" w:type="auto"/>
            <w:tcBorders>
              <w:bottom w:val="single" w:color="00695C" w:sz="8"/>
            </w:tcBorders>
            <w:shd w:val="clear" w:fill="E0F2F1"/>
            <w:vAlign w:val="center"/>
          </w:tcPr>
          <w:p>
            <w:pPr>
              <w:spacing w:before="100" w:after="100"/>
              <w:jc w:val="center"/>
            </w:pPr>
            <w:r>
              <w:rPr>
                <w:b/>
                <w:color w:val="212121"/>
                <w:sz w:val="21"/>
              </w:rPr>
              <w:t>Quartile</w:t>
            </w:r>
          </w:p>
        </w:tc>
        <w:tc>
          <w:tcPr>
            <w:tcW w:w="0" w:type="auto"/>
            <w:tcBorders>
              <w:bottom w:val="single" w:color="00695C" w:sz="8"/>
            </w:tcBorders>
            <w:shd w:val="clear" w:fill="E0F2F1"/>
            <w:vAlign w:val="center"/>
          </w:tcPr>
          <w:p>
            <w:pPr>
              <w:spacing w:before="100" w:after="100"/>
              <w:jc w:val="center"/>
            </w:pPr>
            <w:r>
              <w:rPr>
                <w:b/>
                <w:color w:val="212121"/>
                <w:sz w:val="21"/>
              </w:rPr>
              <w:t>Focus Area</w:t>
            </w:r>
          </w:p>
        </w:tc>
      </w:tr>
      <w:tr>
        <w:tc>
          <w:tcPr>
            <w:tcW w:w="0" w:type="auto"/>
            <w:vAlign w:val="center"/>
          </w:tcPr>
          <w:p>
            <w:pPr>
              <w:spacing w:before="80" w:after="80"/>
              <w:jc w:val="left"/>
            </w:pPr>
            <w:r>
              <w:rPr>
                <w:color w:val="212121"/>
                <w:sz w:val="20"/>
              </w:rPr>
              <w:t>3D Printing in Medicine</w:t>
            </w:r>
          </w:p>
        </w:tc>
        <w:tc>
          <w:tcPr>
            <w:tcW w:w="0" w:type="auto"/>
            <w:vAlign w:val="center"/>
          </w:tcPr>
          <w:p>
            <w:pPr>
              <w:spacing w:before="80" w:after="80"/>
              <w:jc w:val="center"/>
            </w:pPr>
            <w:r>
              <w:rPr>
                <w:color w:val="212121"/>
                <w:sz w:val="20"/>
              </w:rPr>
              <w:t>Springer</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Medical 3D printing</w:t>
            </w:r>
          </w:p>
        </w:tc>
      </w:tr>
      <w:tr>
        <w:tc>
          <w:tcPr>
            <w:tcW w:w="0" w:type="auto"/>
            <w:vAlign w:val="center"/>
          </w:tcPr>
          <w:p>
            <w:pPr>
              <w:spacing w:before="80" w:after="80"/>
              <w:jc w:val="left"/>
            </w:pPr>
            <w:r>
              <w:rPr>
                <w:color w:val="212121"/>
                <w:sz w:val="20"/>
              </w:rPr>
              <w:t>AACE Clinical Case Reports</w:t>
            </w:r>
          </w:p>
        </w:tc>
        <w:tc>
          <w:tcPr>
            <w:tcW w:w="0" w:type="auto"/>
            <w:vAlign w:val="center"/>
          </w:tcPr>
          <w:p>
            <w:pPr>
              <w:spacing w:before="80" w:after="80"/>
              <w:jc w:val="center"/>
            </w:pPr>
            <w:r>
              <w:rPr>
                <w:color w:val="212121"/>
                <w:sz w:val="20"/>
              </w:rPr>
              <w:t>AACE</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Endocrinology cases</w:t>
            </w:r>
          </w:p>
        </w:tc>
      </w:tr>
      <w:tr>
        <w:tc>
          <w:tcPr>
            <w:tcW w:w="0" w:type="auto"/>
            <w:vAlign w:val="center"/>
          </w:tcPr>
          <w:p>
            <w:pPr>
              <w:spacing w:before="80" w:after="80"/>
              <w:jc w:val="left"/>
            </w:pPr>
            <w:r>
              <w:rPr>
                <w:color w:val="212121"/>
                <w:sz w:val="20"/>
              </w:rPr>
              <w:t>Acta Clinica Croatica</w:t>
            </w:r>
          </w:p>
        </w:tc>
        <w:tc>
          <w:tcPr>
            <w:tcW w:w="0" w:type="auto"/>
            <w:vAlign w:val="center"/>
          </w:tcPr>
          <w:p>
            <w:pPr>
              <w:spacing w:before="80" w:after="80"/>
              <w:jc w:val="center"/>
            </w:pPr>
            <w:r>
              <w:rPr>
                <w:color w:val="212121"/>
                <w:sz w:val="20"/>
              </w:rPr>
              <w:t>Croatian Medical</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General medicine</w:t>
            </w:r>
          </w:p>
        </w:tc>
      </w:tr>
      <w:tr>
        <w:tc>
          <w:tcPr>
            <w:tcW w:w="0" w:type="auto"/>
            <w:vAlign w:val="center"/>
          </w:tcPr>
          <w:p>
            <w:pPr>
              <w:spacing w:before="80" w:after="80"/>
              <w:jc w:val="left"/>
            </w:pPr>
            <w:r>
              <w:rPr>
                <w:color w:val="212121"/>
                <w:sz w:val="20"/>
              </w:rPr>
              <w:t>BMC Research Notes</w:t>
            </w:r>
          </w:p>
        </w:tc>
        <w:tc>
          <w:tcPr>
            <w:tcW w:w="0" w:type="auto"/>
            <w:vAlign w:val="center"/>
          </w:tcPr>
          <w:p>
            <w:pPr>
              <w:spacing w:before="80" w:after="80"/>
              <w:jc w:val="center"/>
            </w:pPr>
            <w:r>
              <w:rPr>
                <w:color w:val="212121"/>
                <w:sz w:val="20"/>
              </w:rPr>
              <w:t>BMC</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Research outputs</w:t>
            </w:r>
          </w:p>
        </w:tc>
      </w:tr>
      <w:tr>
        <w:tc>
          <w:tcPr>
            <w:tcW w:w="0" w:type="auto"/>
            <w:vAlign w:val="center"/>
          </w:tcPr>
          <w:p>
            <w:pPr>
              <w:spacing w:before="80" w:after="80"/>
              <w:jc w:val="left"/>
            </w:pPr>
            <w:r>
              <w:rPr>
                <w:color w:val="212121"/>
                <w:sz w:val="20"/>
              </w:rPr>
              <w:t>Journal of Men's Health</w:t>
            </w:r>
          </w:p>
        </w:tc>
        <w:tc>
          <w:tcPr>
            <w:tcW w:w="0" w:type="auto"/>
            <w:vAlign w:val="center"/>
          </w:tcPr>
          <w:p>
            <w:pPr>
              <w:spacing w:before="80" w:after="80"/>
              <w:jc w:val="center"/>
            </w:pPr>
            <w:r>
              <w:rPr>
                <w:color w:val="212121"/>
                <w:sz w:val="20"/>
              </w:rPr>
              <w:t>IMR Press</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Men's health</w:t>
            </w:r>
          </w:p>
        </w:tc>
      </w:tr>
      <w:tr>
        <w:tc>
          <w:tcPr>
            <w:tcW w:w="0" w:type="auto"/>
            <w:vAlign w:val="center"/>
          </w:tcPr>
          <w:p>
            <w:pPr>
              <w:spacing w:before="80" w:after="80"/>
              <w:jc w:val="left"/>
            </w:pPr>
            <w:r>
              <w:rPr>
                <w:color w:val="212121"/>
                <w:sz w:val="20"/>
              </w:rPr>
              <w:t>Indian Journal of Medical Microbiology</w:t>
            </w:r>
          </w:p>
        </w:tc>
        <w:tc>
          <w:tcPr>
            <w:tcW w:w="0" w:type="auto"/>
            <w:vAlign w:val="center"/>
          </w:tcPr>
          <w:p>
            <w:pPr>
              <w:spacing w:before="80" w:after="80"/>
              <w:jc w:val="center"/>
            </w:pPr>
            <w:r>
              <w:rPr>
                <w:color w:val="212121"/>
                <w:sz w:val="20"/>
              </w:rPr>
              <w:t>Wolters Kluwer</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Medical microbiology</w:t>
            </w:r>
          </w:p>
        </w:tc>
      </w:tr>
      <w:tr>
        <w:tc>
          <w:tcPr>
            <w:tcW w:w="0" w:type="auto"/>
            <w:vAlign w:val="center"/>
          </w:tcPr>
          <w:p>
            <w:pPr>
              <w:spacing w:before="80" w:after="80"/>
              <w:jc w:val="left"/>
            </w:pPr>
            <w:r>
              <w:rPr>
                <w:color w:val="212121"/>
                <w:sz w:val="20"/>
              </w:rPr>
              <w:t>Journal of International Medical Research</w:t>
            </w:r>
          </w:p>
        </w:tc>
        <w:tc>
          <w:tcPr>
            <w:tcW w:w="0" w:type="auto"/>
            <w:vAlign w:val="center"/>
          </w:tcPr>
          <w:p>
            <w:pPr>
              <w:spacing w:before="80" w:after="80"/>
              <w:jc w:val="center"/>
            </w:pPr>
            <w:r>
              <w:rPr>
                <w:color w:val="212121"/>
                <w:sz w:val="20"/>
              </w:rPr>
              <w:t>SAGE</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Clinical research</w:t>
            </w:r>
          </w:p>
        </w:tc>
      </w:tr>
      <w:tr>
        <w:tc>
          <w:tcPr>
            <w:tcW w:w="0" w:type="auto"/>
            <w:vAlign w:val="center"/>
          </w:tcPr>
          <w:p>
            <w:pPr>
              <w:spacing w:before="80" w:after="80"/>
              <w:jc w:val="left"/>
            </w:pPr>
            <w:r>
              <w:rPr>
                <w:color w:val="212121"/>
                <w:sz w:val="20"/>
              </w:rPr>
              <w:t>American Journal of Nursing</w:t>
            </w:r>
          </w:p>
        </w:tc>
        <w:tc>
          <w:tcPr>
            <w:tcW w:w="0" w:type="auto"/>
            <w:vAlign w:val="center"/>
          </w:tcPr>
          <w:p>
            <w:pPr>
              <w:spacing w:before="80" w:after="80"/>
              <w:jc w:val="center"/>
            </w:pPr>
            <w:r>
              <w:rPr>
                <w:color w:val="212121"/>
                <w:sz w:val="20"/>
              </w:rPr>
              <w:t>Lippincott</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Nursing</w:t>
            </w:r>
          </w:p>
        </w:tc>
      </w:tr>
      <w:tr>
        <w:tc>
          <w:tcPr>
            <w:tcW w:w="0" w:type="auto"/>
            <w:vAlign w:val="center"/>
          </w:tcPr>
          <w:p>
            <w:pPr>
              <w:spacing w:before="80" w:after="80"/>
              <w:jc w:val="left"/>
            </w:pPr>
            <w:r>
              <w:rPr>
                <w:color w:val="212121"/>
                <w:sz w:val="20"/>
              </w:rPr>
              <w:t>Journal of Cytology</w:t>
            </w:r>
          </w:p>
        </w:tc>
        <w:tc>
          <w:tcPr>
            <w:tcW w:w="0" w:type="auto"/>
            <w:vAlign w:val="center"/>
          </w:tcPr>
          <w:p>
            <w:pPr>
              <w:spacing w:before="80" w:after="80"/>
              <w:jc w:val="center"/>
            </w:pPr>
            <w:r>
              <w:rPr>
                <w:color w:val="212121"/>
                <w:sz w:val="20"/>
              </w:rPr>
              <w:t>Wolters Kluwer</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Cytopathology</w:t>
            </w:r>
          </w:p>
        </w:tc>
      </w:tr>
      <w:tr>
        <w:tc>
          <w:tcPr>
            <w:tcW w:w="0" w:type="auto"/>
            <w:vAlign w:val="center"/>
          </w:tcPr>
          <w:p>
            <w:pPr>
              <w:spacing w:before="80" w:after="80"/>
              <w:jc w:val="left"/>
            </w:pPr>
            <w:r>
              <w:rPr>
                <w:color w:val="212121"/>
                <w:sz w:val="20"/>
              </w:rPr>
              <w:t>Trauma</w:t>
            </w:r>
          </w:p>
        </w:tc>
        <w:tc>
          <w:tcPr>
            <w:tcW w:w="0" w:type="auto"/>
            <w:vAlign w:val="center"/>
          </w:tcPr>
          <w:p>
            <w:pPr>
              <w:spacing w:before="80" w:after="80"/>
              <w:jc w:val="center"/>
            </w:pPr>
            <w:r>
              <w:rPr>
                <w:color w:val="212121"/>
                <w:sz w:val="20"/>
              </w:rPr>
              <w:t>SAGE</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Trauma care</w:t>
            </w:r>
          </w:p>
        </w:tc>
      </w:tr>
    </w:tbl>
    <w:p>
      <w:pPr>
        <w:pStyle w:val="Caption"/>
      </w:pPr>
      <w:r>
        <w:t>Table 4: Representative Q3 Journals in Medicine</w:t>
      </w:r>
    </w:p>
    <w:p>
      <w:pPr>
        <w:pStyle w:val="Heading2"/>
      </w:pPr>
      <w:r>
        <w:t>3.3 Social Sciences and Psychology</w:t>
      </w:r>
    </w:p>
    <w:p>
      <w:r>
        <w:t>Social sciences have robust Q2 and Q3 journal ecosystems serving diverse research needs:</w:t>
      </w:r>
    </w:p>
    <w:p>
      <w:pPr>
        <w:pStyle w:val="Heading3"/>
      </w:pPr>
      <w:r>
        <w:t>Q2 Journals in Social Sciences</w:t>
      </w:r>
    </w:p>
    <w:p>
      <w:pPr>
        <w:numPr>
          <w:ilvl w:val="0"/>
          <w:numId w:val="2"/>
        </w:numPr>
        <w:spacing w:after="120"/>
      </w:pPr>
      <w:r>
        <w:rPr>
          <w:b/>
        </w:rPr>
        <w:t>Journal of Applied Psychology</w:t>
      </w:r>
      <w:r>
        <w:t>: APA - Applied psychology research</w:t>
      </w:r>
    </w:p>
    <w:p>
      <w:pPr>
        <w:numPr>
          <w:ilvl w:val="0"/>
          <w:numId w:val="2"/>
        </w:numPr>
        <w:spacing w:after="120"/>
      </w:pPr>
      <w:r>
        <w:rPr>
          <w:b/>
        </w:rPr>
        <w:t>Journal of Marketing Research</w:t>
      </w:r>
      <w:r>
        <w:t>: AMA - Marketing studies</w:t>
      </w:r>
    </w:p>
    <w:p>
      <w:pPr>
        <w:numPr>
          <w:ilvl w:val="0"/>
          <w:numId w:val="2"/>
        </w:numPr>
        <w:spacing w:after="120"/>
      </w:pPr>
      <w:r>
        <w:rPr>
          <w:b/>
        </w:rPr>
        <w:t>Journal of Materials Science</w:t>
      </w:r>
      <w:r>
        <w:t>: Springer - Materials research</w:t>
      </w:r>
    </w:p>
    <w:p>
      <w:pPr>
        <w:numPr>
          <w:ilvl w:val="0"/>
          <w:numId w:val="2"/>
        </w:numPr>
        <w:spacing w:after="120"/>
      </w:pPr>
      <w:r>
        <w:rPr>
          <w:b/>
        </w:rPr>
        <w:t>Journal of Finance</w:t>
      </w:r>
      <w:r>
        <w:t>: Wiley - Finance research</w:t>
      </w:r>
    </w:p>
    <w:p>
      <w:pPr>
        <w:pStyle w:val="Heading3"/>
      </w:pPr>
      <w:r>
        <w:t>Q3 Journals in Psychology</w:t>
      </w:r>
    </w:p>
    <w:tbl>
      <w:tblPr>
        <w:tblW w:w="5000" w:type="pct"/>
        <w:tblBorders>
          <w:top w:val="single" w:color="00695C" w:sz="12"/>
          <w:left w:val="nil"/>
          <w:bottom w:val="single" w:color="00695C" w:sz="12"/>
          <w:right w:val="nil"/>
          <w:insideH w:val="single" w:color="E0E0E0" w:sz="4"/>
          <w:insideV w:val="nil"/>
        </w:tblBorders>
      </w:tblPr>
      <w:tblGrid>
        <w:gridCol w:w="4000"/>
        <w:gridCol w:w="2000"/>
        <w:gridCol w:w="1000"/>
        <w:gridCol w:w="2000"/>
      </w:tblGrid>
      <w:tr>
        <w:trPr>
          <w:tblHeader/>
        </w:trPr>
        <w:tc>
          <w:tcPr>
            <w:tcW w:w="0" w:type="auto"/>
            <w:tcBorders>
              <w:bottom w:val="single" w:color="00695C" w:sz="8"/>
            </w:tcBorders>
            <w:shd w:val="clear" w:fill="E0F2F1"/>
            <w:vAlign w:val="center"/>
          </w:tcPr>
          <w:p>
            <w:pPr>
              <w:spacing w:before="100" w:after="100"/>
              <w:jc w:val="center"/>
            </w:pPr>
            <w:r>
              <w:rPr>
                <w:b/>
                <w:color w:val="212121"/>
                <w:sz w:val="21"/>
              </w:rPr>
              <w:t>Journal Name</w:t>
            </w:r>
          </w:p>
        </w:tc>
        <w:tc>
          <w:tcPr>
            <w:tcW w:w="0" w:type="auto"/>
            <w:tcBorders>
              <w:bottom w:val="single" w:color="00695C" w:sz="8"/>
            </w:tcBorders>
            <w:shd w:val="clear" w:fill="E0F2F1"/>
            <w:vAlign w:val="center"/>
          </w:tcPr>
          <w:p>
            <w:pPr>
              <w:spacing w:before="100" w:after="100"/>
              <w:jc w:val="center"/>
            </w:pPr>
            <w:r>
              <w:rPr>
                <w:b/>
                <w:color w:val="212121"/>
                <w:sz w:val="21"/>
              </w:rPr>
              <w:t>Publisher</w:t>
            </w:r>
          </w:p>
        </w:tc>
        <w:tc>
          <w:tcPr>
            <w:tcW w:w="0" w:type="auto"/>
            <w:tcBorders>
              <w:bottom w:val="single" w:color="00695C" w:sz="8"/>
            </w:tcBorders>
            <w:shd w:val="clear" w:fill="E0F2F1"/>
            <w:vAlign w:val="center"/>
          </w:tcPr>
          <w:p>
            <w:pPr>
              <w:spacing w:before="100" w:after="100"/>
              <w:jc w:val="center"/>
            </w:pPr>
            <w:r>
              <w:rPr>
                <w:b/>
                <w:color w:val="212121"/>
                <w:sz w:val="21"/>
              </w:rPr>
              <w:t>Quartile</w:t>
            </w:r>
          </w:p>
        </w:tc>
        <w:tc>
          <w:tcPr>
            <w:tcW w:w="0" w:type="auto"/>
            <w:tcBorders>
              <w:bottom w:val="single" w:color="00695C" w:sz="8"/>
            </w:tcBorders>
            <w:shd w:val="clear" w:fill="E0F2F1"/>
            <w:vAlign w:val="center"/>
          </w:tcPr>
          <w:p>
            <w:pPr>
              <w:spacing w:before="100" w:after="100"/>
              <w:jc w:val="center"/>
            </w:pPr>
            <w:r>
              <w:rPr>
                <w:b/>
                <w:color w:val="212121"/>
                <w:sz w:val="21"/>
              </w:rPr>
              <w:t>Focus Area</w:t>
            </w:r>
          </w:p>
        </w:tc>
      </w:tr>
      <w:tr>
        <w:tc>
          <w:tcPr>
            <w:tcW w:w="0" w:type="auto"/>
            <w:vAlign w:val="center"/>
          </w:tcPr>
          <w:p>
            <w:pPr>
              <w:spacing w:before="80" w:after="80"/>
              <w:jc w:val="left"/>
            </w:pPr>
            <w:r>
              <w:rPr>
                <w:color w:val="212121"/>
                <w:sz w:val="20"/>
              </w:rPr>
              <w:t>Journal of Cognitive Science</w:t>
            </w:r>
          </w:p>
        </w:tc>
        <w:tc>
          <w:tcPr>
            <w:tcW w:w="0" w:type="auto"/>
            <w:vAlign w:val="center"/>
          </w:tcPr>
          <w:p>
            <w:pPr>
              <w:spacing w:before="80" w:after="80"/>
              <w:jc w:val="center"/>
            </w:pPr>
            <w:r>
              <w:rPr>
                <w:color w:val="212121"/>
                <w:sz w:val="20"/>
              </w:rPr>
              <w:t>IACS</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Cognitive science</w:t>
            </w:r>
          </w:p>
        </w:tc>
      </w:tr>
      <w:tr>
        <w:tc>
          <w:tcPr>
            <w:tcW w:w="0" w:type="auto"/>
            <w:vAlign w:val="center"/>
          </w:tcPr>
          <w:p>
            <w:pPr>
              <w:spacing w:before="80" w:after="80"/>
              <w:jc w:val="left"/>
            </w:pPr>
            <w:r>
              <w:rPr>
                <w:color w:val="212121"/>
                <w:sz w:val="20"/>
              </w:rPr>
              <w:t>Psychological Science and Education</w:t>
            </w:r>
          </w:p>
        </w:tc>
        <w:tc>
          <w:tcPr>
            <w:tcW w:w="0" w:type="auto"/>
            <w:vAlign w:val="center"/>
          </w:tcPr>
          <w:p>
            <w:pPr>
              <w:spacing w:before="80" w:after="80"/>
              <w:jc w:val="center"/>
            </w:pPr>
            <w:r>
              <w:rPr>
                <w:color w:val="212121"/>
                <w:sz w:val="20"/>
              </w:rPr>
              <w:t>MSUPE</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Educational psychology</w:t>
            </w:r>
          </w:p>
        </w:tc>
      </w:tr>
      <w:tr>
        <w:tc>
          <w:tcPr>
            <w:tcW w:w="0" w:type="auto"/>
            <w:vAlign w:val="center"/>
          </w:tcPr>
          <w:p>
            <w:pPr>
              <w:spacing w:before="80" w:after="80"/>
              <w:jc w:val="left"/>
            </w:pPr>
            <w:r>
              <w:rPr>
                <w:color w:val="212121"/>
                <w:sz w:val="20"/>
              </w:rPr>
              <w:t>European Journal of Mental Health</w:t>
            </w:r>
          </w:p>
        </w:tc>
        <w:tc>
          <w:tcPr>
            <w:tcW w:w="0" w:type="auto"/>
            <w:vAlign w:val="center"/>
          </w:tcPr>
          <w:p>
            <w:pPr>
              <w:spacing w:before="80" w:after="80"/>
              <w:jc w:val="center"/>
            </w:pPr>
            <w:r>
              <w:rPr>
                <w:color w:val="212121"/>
                <w:sz w:val="20"/>
              </w:rPr>
              <w:t>Semmelweis</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Mental health</w:t>
            </w:r>
          </w:p>
        </w:tc>
      </w:tr>
      <w:tr>
        <w:tc>
          <w:tcPr>
            <w:tcW w:w="0" w:type="auto"/>
            <w:vAlign w:val="center"/>
          </w:tcPr>
          <w:p>
            <w:pPr>
              <w:spacing w:before="80" w:after="80"/>
              <w:jc w:val="left"/>
            </w:pPr>
            <w:r>
              <w:rPr>
                <w:color w:val="212121"/>
                <w:sz w:val="20"/>
              </w:rPr>
              <w:t>Open Psychology Journal</w:t>
            </w:r>
          </w:p>
        </w:tc>
        <w:tc>
          <w:tcPr>
            <w:tcW w:w="0" w:type="auto"/>
            <w:vAlign w:val="center"/>
          </w:tcPr>
          <w:p>
            <w:pPr>
              <w:spacing w:before="80" w:after="80"/>
              <w:jc w:val="center"/>
            </w:pPr>
            <w:r>
              <w:rPr>
                <w:color w:val="212121"/>
                <w:sz w:val="20"/>
              </w:rPr>
              <w:t>Bentham</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Open access psychology</w:t>
            </w:r>
          </w:p>
        </w:tc>
      </w:tr>
      <w:tr>
        <w:tc>
          <w:tcPr>
            <w:tcW w:w="0" w:type="auto"/>
            <w:vAlign w:val="center"/>
          </w:tcPr>
          <w:p>
            <w:pPr>
              <w:spacing w:before="80" w:after="80"/>
              <w:jc w:val="left"/>
            </w:pPr>
            <w:r>
              <w:rPr>
                <w:color w:val="212121"/>
                <w:sz w:val="20"/>
              </w:rPr>
              <w:t>Psychology and Neuroscience</w:t>
            </w:r>
          </w:p>
        </w:tc>
        <w:tc>
          <w:tcPr>
            <w:tcW w:w="0" w:type="auto"/>
            <w:vAlign w:val="center"/>
          </w:tcPr>
          <w:p>
            <w:pPr>
              <w:spacing w:before="80" w:after="80"/>
              <w:jc w:val="center"/>
            </w:pPr>
            <w:r>
              <w:rPr>
                <w:color w:val="212121"/>
                <w:sz w:val="20"/>
              </w:rPr>
              <w:t>PUCRS</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Psychology/neuroscience</w:t>
            </w:r>
          </w:p>
        </w:tc>
      </w:tr>
      <w:tr>
        <w:tc>
          <w:tcPr>
            <w:tcW w:w="0" w:type="auto"/>
            <w:vAlign w:val="center"/>
          </w:tcPr>
          <w:p>
            <w:pPr>
              <w:spacing w:before="80" w:after="80"/>
              <w:jc w:val="left"/>
            </w:pPr>
            <w:r>
              <w:rPr>
                <w:color w:val="212121"/>
                <w:sz w:val="20"/>
              </w:rPr>
              <w:t>Perceptual and Motor Skills</w:t>
            </w:r>
          </w:p>
        </w:tc>
        <w:tc>
          <w:tcPr>
            <w:tcW w:w="0" w:type="auto"/>
            <w:vAlign w:val="center"/>
          </w:tcPr>
          <w:p>
            <w:pPr>
              <w:spacing w:before="80" w:after="80"/>
              <w:jc w:val="center"/>
            </w:pPr>
            <w:r>
              <w:rPr>
                <w:color w:val="212121"/>
                <w:sz w:val="20"/>
              </w:rPr>
              <w:t>SAGE</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Perception/motor skills</w:t>
            </w:r>
          </w:p>
        </w:tc>
      </w:tr>
      <w:tr>
        <w:tc>
          <w:tcPr>
            <w:tcW w:w="0" w:type="auto"/>
            <w:vAlign w:val="center"/>
          </w:tcPr>
          <w:p>
            <w:pPr>
              <w:spacing w:before="80" w:after="80"/>
              <w:jc w:val="left"/>
            </w:pPr>
            <w:r>
              <w:rPr>
                <w:color w:val="212121"/>
                <w:sz w:val="20"/>
              </w:rPr>
              <w:t>Sleep and Biological Rhythms</w:t>
            </w:r>
          </w:p>
        </w:tc>
        <w:tc>
          <w:tcPr>
            <w:tcW w:w="0" w:type="auto"/>
            <w:vAlign w:val="center"/>
          </w:tcPr>
          <w:p>
            <w:pPr>
              <w:spacing w:before="80" w:after="80"/>
              <w:jc w:val="center"/>
            </w:pPr>
            <w:r>
              <w:rPr>
                <w:color w:val="212121"/>
                <w:sz w:val="20"/>
              </w:rPr>
              <w:t>Springer</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Sleep research</w:t>
            </w:r>
          </w:p>
        </w:tc>
      </w:tr>
      <w:tr>
        <w:tc>
          <w:tcPr>
            <w:tcW w:w="0" w:type="auto"/>
            <w:vAlign w:val="center"/>
          </w:tcPr>
          <w:p>
            <w:pPr>
              <w:spacing w:before="80" w:after="80"/>
              <w:jc w:val="left"/>
            </w:pPr>
            <w:r>
              <w:rPr>
                <w:color w:val="212121"/>
                <w:sz w:val="20"/>
              </w:rPr>
              <w:t>Social Behavior and Personality</w:t>
            </w:r>
          </w:p>
        </w:tc>
        <w:tc>
          <w:tcPr>
            <w:tcW w:w="0" w:type="auto"/>
            <w:vAlign w:val="center"/>
          </w:tcPr>
          <w:p>
            <w:pPr>
              <w:spacing w:before="80" w:after="80"/>
              <w:jc w:val="center"/>
            </w:pPr>
            <w:r>
              <w:rPr>
                <w:color w:val="212121"/>
                <w:sz w:val="20"/>
              </w:rPr>
              <w:t>SBP</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Social/personality</w:t>
            </w:r>
          </w:p>
        </w:tc>
      </w:tr>
      <w:tr>
        <w:tc>
          <w:tcPr>
            <w:tcW w:w="0" w:type="auto"/>
            <w:vAlign w:val="center"/>
          </w:tcPr>
          <w:p>
            <w:pPr>
              <w:spacing w:before="80" w:after="80"/>
              <w:jc w:val="left"/>
            </w:pPr>
            <w:r>
              <w:rPr>
                <w:color w:val="212121"/>
                <w:sz w:val="20"/>
              </w:rPr>
              <w:t>Studia Psychologica</w:t>
            </w:r>
          </w:p>
        </w:tc>
        <w:tc>
          <w:tcPr>
            <w:tcW w:w="0" w:type="auto"/>
            <w:vAlign w:val="center"/>
          </w:tcPr>
          <w:p>
            <w:pPr>
              <w:spacing w:before="80" w:after="80"/>
              <w:jc w:val="center"/>
            </w:pPr>
            <w:r>
              <w:rPr>
                <w:color w:val="212121"/>
                <w:sz w:val="20"/>
              </w:rPr>
              <w:t>SAS</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General psychology</w:t>
            </w:r>
          </w:p>
        </w:tc>
      </w:tr>
      <w:tr>
        <w:tc>
          <w:tcPr>
            <w:tcW w:w="0" w:type="auto"/>
            <w:vAlign w:val="center"/>
          </w:tcPr>
          <w:p>
            <w:pPr>
              <w:spacing w:before="80" w:after="80"/>
              <w:jc w:val="left"/>
            </w:pPr>
            <w:r>
              <w:rPr>
                <w:color w:val="212121"/>
                <w:sz w:val="20"/>
              </w:rPr>
              <w:t>Applied Neuropsychology: Child</w:t>
            </w:r>
          </w:p>
        </w:tc>
        <w:tc>
          <w:tcPr>
            <w:tcW w:w="0" w:type="auto"/>
            <w:vAlign w:val="center"/>
          </w:tcPr>
          <w:p>
            <w:pPr>
              <w:spacing w:before="80" w:after="80"/>
              <w:jc w:val="center"/>
            </w:pPr>
            <w:r>
              <w:rPr>
                <w:color w:val="212121"/>
                <w:sz w:val="20"/>
              </w:rPr>
              <w:t>Taylor &amp; Francis</w:t>
            </w:r>
          </w:p>
        </w:tc>
        <w:tc>
          <w:tcPr>
            <w:tcW w:w="0" w:type="auto"/>
            <w:vAlign w:val="center"/>
          </w:tcPr>
          <w:p>
            <w:pPr>
              <w:spacing w:before="80" w:after="80"/>
              <w:jc w:val="center"/>
            </w:pPr>
            <w:r>
              <w:rPr>
                <w:color w:val="212121"/>
                <w:sz w:val="20"/>
              </w:rPr>
              <w:t>Q3</w:t>
            </w:r>
          </w:p>
        </w:tc>
        <w:tc>
          <w:tcPr>
            <w:tcW w:w="0" w:type="auto"/>
            <w:vAlign w:val="center"/>
          </w:tcPr>
          <w:p>
            <w:pPr>
              <w:spacing w:before="80" w:after="80"/>
              <w:jc w:val="center"/>
            </w:pPr>
            <w:r>
              <w:rPr>
                <w:color w:val="212121"/>
                <w:sz w:val="20"/>
              </w:rPr>
              <w:t>Child neuropsychology</w:t>
            </w:r>
          </w:p>
        </w:tc>
      </w:tr>
    </w:tbl>
    <w:p>
      <w:pPr>
        <w:pStyle w:val="Caption"/>
      </w:pPr>
      <w:r>
        <w:t>Table 5: Representative Q3 Journals in Psychology</w:t>
      </w:r>
    </w:p>
    <w:p>
      <w:pPr>
        <w:pStyle w:val="Heading1"/>
      </w:pPr>
      <w:r>
        <w:t>Chapter 4: When to Target Q2 vs Q3</w:t>
      </w:r>
    </w:p>
    <w:p>
      <w:r>
        <w:t>Making strategic decisions about whether to target Q2 or Q3 journals requires considering multiple factors. This chapter provides frameworks to guide your decision-making process.</w:t>
      </w:r>
    </w:p>
    <w:p>
      <w:pPr>
        <w:pStyle w:val="Heading2"/>
      </w:pPr>
      <w:r>
        <w:t>4.1 Decision Framework</w:t>
      </w:r>
    </w:p>
    <w:p>
      <w:r>
        <w:t>The following decision tree helps determine whether Q2 or Q3 journals are more appropriate for your manuscript:</w:t>
      </w:r>
    </w:p>
    <w:p>
      <w:pPr>
        <w:keepNext/>
        <w:spacing w:before="200" w:after="80"/>
        <w:jc w:val="center"/>
      </w:pPr>
      <w:r>
        <w:drawing>
          <wp:inline distT="0" distB="0" distL="0" distR="0">
            <wp:extent cx="5400000" cy="4719470"/>
            <wp:effectExtent l="0" t="0" r="0" b="0"/>
            <wp:docPr id="10" name="Q2 Q3 Decision Tree"/>
            <wp:cNvGraphicFramePr>
              <a:graphicFrameLocks noChangeAspect="1"/>
            </wp:cNvGraphicFramePr>
            <a:graphic>
              <a:graphicData uri="http://schemas.openxmlformats.org/drawingml/2006/picture">
                <pic:pic>
                  <pic:nvPicPr>
                    <pic:cNvPr id="0" name="Q2 Q3 Decision Tree.png"/>
                    <pic:cNvPicPr/>
                  </pic:nvPicPr>
                  <pic:blipFill>
                    <a:blip r:embed="R633d2ae6d94d4367"/>
                    <a:stretch>
                      <a:fillRect/>
                    </a:stretch>
                  </pic:blipFill>
                  <pic:spPr>
                    <a:xfrm>
                      <a:off x="0" y="0"/>
                      <a:ext cx="5400000" cy="4719470"/>
                    </a:xfrm>
                    <a:prstGeom prst="rect"/>
                  </pic:spPr>
                </pic:pic>
              </a:graphicData>
            </a:graphic>
          </wp:inline>
        </w:drawing>
      </w:r>
    </w:p>
    <w:p>
      <w:pPr>
        <w:pStyle w:val="Caption"/>
      </w:pPr>
      <w:r>
        <w:t>Figure 1: Q2 &amp; Q3 Journal Selection Decision Tree</w:t>
      </w:r>
    </w:p>
    <w:p>
      <w:pPr>
        <w:pStyle w:val="Heading2"/>
      </w:pPr>
      <w:r>
        <w:t>4.2 Career Stage Considerations</w:t>
      </w:r>
    </w:p>
    <w:p>
      <w:r>
        <w:t>Your career stage significantly influences the strategic value of Q2 and Q3 journals:</w:t>
      </w:r>
    </w:p>
    <w:p>
      <w:pPr>
        <w:pStyle w:val="Heading3"/>
      </w:pPr>
      <w:r>
        <w:t>PhD Students</w:t>
      </w:r>
    </w:p>
    <w:p>
      <w:r>
        <w:t>For doctoral candidates, Q2 and Q3 journals offer essential publication opportunities:</w:t>
      </w:r>
    </w:p>
    <w:p>
      <w:pPr>
        <w:numPr>
          <w:ilvl w:val="0"/>
          <w:numId w:val="2"/>
        </w:numPr>
        <w:spacing w:after="120"/>
      </w:pPr>
      <w:r>
        <w:rPr>
          <w:b/>
        </w:rPr>
        <w:t>Thesis Requirements</w:t>
      </w:r>
      <w:r>
        <w:t>: Many PhD programs require at least one Scopus-indexed publication; Q2/Q3 journals meet this requirement.</w:t>
      </w:r>
    </w:p>
    <w:p>
      <w:pPr>
        <w:numPr>
          <w:ilvl w:val="0"/>
          <w:numId w:val="2"/>
        </w:numPr>
        <w:spacing w:after="120"/>
      </w:pPr>
      <w:r>
        <w:rPr>
          <w:b/>
        </w:rPr>
        <w:t>Building Confidence</w:t>
      </w:r>
      <w:r>
        <w:t>: Successful publications in Q2/Q3 build confidence before attempting Q1 submissions.</w:t>
      </w:r>
    </w:p>
    <w:p>
      <w:pPr>
        <w:numPr>
          <w:ilvl w:val="0"/>
          <w:numId w:val="2"/>
        </w:numPr>
        <w:spacing w:after="120"/>
      </w:pPr>
      <w:r>
        <w:rPr>
          <w:b/>
        </w:rPr>
        <w:t>Timeline Pressure</w:t>
      </w:r>
      <w:r>
        <w:t>: Thesis submission deadlines often make Q3 journals attractive for final publications.</w:t>
      </w:r>
    </w:p>
    <w:p>
      <w:pPr>
        <w:numPr>
          <w:ilvl w:val="0"/>
          <w:numId w:val="2"/>
        </w:numPr>
        <w:spacing w:after="120"/>
      </w:pPr>
      <w:r>
        <w:rPr>
          <w:b/>
        </w:rPr>
        <w:t>Learning Experience</w:t>
      </w:r>
      <w:r>
        <w:t>: The peer review process in Q2/Q3 journals provides valuable learning opportunities.</w:t>
      </w:r>
    </w:p>
    <w:p>
      <w:pPr>
        <w:pStyle w:val="Heading3"/>
      </w:pPr>
      <w:r>
        <w:t>Early-Career Researchers (Postdocs, Junior Faculty)</w:t>
      </w:r>
    </w:p>
    <w:p>
      <w:r>
        <w:t>For researchers establishing their careers, Q2 and Q3 journals serve strategic purposes:</w:t>
      </w:r>
    </w:p>
    <w:p>
      <w:pPr>
        <w:numPr>
          <w:ilvl w:val="0"/>
          <w:numId w:val="2"/>
        </w:numPr>
        <w:spacing w:after="120"/>
      </w:pPr>
      <w:r>
        <w:rPr>
          <w:b/>
        </w:rPr>
        <w:t>Job Applications</w:t>
      </w:r>
      <w:r>
        <w:t>: A mix of Q2 and Q3 publications demonstrates productivity while pursuing Q1 goals.</w:t>
      </w:r>
    </w:p>
    <w:p>
      <w:pPr>
        <w:numPr>
          <w:ilvl w:val="0"/>
          <w:numId w:val="2"/>
        </w:numPr>
        <w:spacing w:after="120"/>
      </w:pPr>
      <w:r>
        <w:rPr>
          <w:b/>
        </w:rPr>
        <w:t>Grant Applications</w:t>
      </w:r>
      <w:r>
        <w:t>: Many funding bodies accept Q2 publications as evidence of research capability.</w:t>
      </w:r>
    </w:p>
    <w:p>
      <w:pPr>
        <w:numPr>
          <w:ilvl w:val="0"/>
          <w:numId w:val="2"/>
        </w:numPr>
        <w:spacing w:after="120"/>
      </w:pPr>
      <w:r>
        <w:rPr>
          <w:b/>
        </w:rPr>
        <w:t>Collaboration Building</w:t>
      </w:r>
      <w:r>
        <w:t>: Publications in accessible journals help establish research networks.</w:t>
      </w:r>
    </w:p>
    <w:p>
      <w:pPr>
        <w:pStyle w:val="Heading3"/>
      </w:pPr>
      <w:r>
        <w:t>Established Researchers</w:t>
      </w:r>
    </w:p>
    <w:p>
      <w:r>
        <w:t>Even senior researchers benefit from strategic Q2 and Q3 publications:</w:t>
      </w:r>
    </w:p>
    <w:p>
      <w:pPr>
        <w:numPr>
          <w:ilvl w:val="0"/>
          <w:numId w:val="2"/>
        </w:numPr>
        <w:spacing w:after="120"/>
      </w:pPr>
      <w:r>
        <w:rPr>
          <w:b/>
        </w:rPr>
        <w:t>Niche Research</w:t>
      </w:r>
      <w:r>
        <w:t>: Specialized findings may fit better in focused Q2/Q3 journals than broad Q1 publications.</w:t>
      </w:r>
    </w:p>
    <w:p>
      <w:pPr>
        <w:numPr>
          <w:ilvl w:val="0"/>
          <w:numId w:val="2"/>
        </w:numPr>
        <w:spacing w:after="120"/>
      </w:pPr>
      <w:r>
        <w:rPr>
          <w:b/>
        </w:rPr>
        <w:t>Regional Studies</w:t>
      </w:r>
      <w:r>
        <w:t>: Research with regional focus often reaches appropriate audiences through Q2/Q3 journals.</w:t>
      </w:r>
    </w:p>
    <w:p>
      <w:pPr>
        <w:numPr>
          <w:ilvl w:val="0"/>
          <w:numId w:val="2"/>
        </w:numPr>
        <w:spacing w:after="120"/>
      </w:pPr>
      <w:r>
        <w:rPr>
          <w:b/>
        </w:rPr>
        <w:t>Methodology Papers</w:t>
      </w:r>
      <w:r>
        <w:t>: Technical and methodological contributions find suitable homes in specialized journals.</w:t>
      </w:r>
    </w:p>
    <w:p>
      <w:pPr>
        <w:numPr>
          <w:ilvl w:val="0"/>
          <w:numId w:val="2"/>
        </w:numPr>
        <w:spacing w:after="120"/>
      </w:pPr>
      <w:r>
        <w:rPr>
          <w:b/>
        </w:rPr>
        <w:t>Maintaining Productivity</w:t>
      </w:r>
      <w:r>
        <w:t>: Q2/Q3 publications help maintain consistent output between major Q1 papers.</w:t>
      </w:r>
    </w:p>
    <w:p>
      <w:pPr>
        <w:shd w:val="clear" w:fill="FFF3E0"/>
        <w:spacing w:before="200" w:after="200"/>
        <w:ind w:left="360" w:right="360"/>
      </w:pPr>
      <w:r>
        <w:rPr>
          <w:b/>
          <w:color w:val="E65100"/>
        </w:rPr>
        <w:t>Strategic Recommendation: </w:t>
      </w:r>
      <w:r>
        <w:t>Use Q2 journals when quality and reputation are priorities. Use Q3 journals when speed and acceptance probability are critical. Both contribute meaningfully to your publication portfolio.</w:t>
      </w:r>
    </w:p>
    <w:p>
      <w:pPr>
        <w:pStyle w:val="Heading1"/>
      </w:pPr>
      <w:r>
        <w:t>Chapter 5: Peer Review in Q2/Q3 Journals</w:t>
      </w:r>
    </w:p>
    <w:p>
      <w:r>
        <w:t>Understanding the peer review expectations in Q2 and Q3 journals helps you prepare manuscripts that meet their standards. While less stringent than Q1, these journals still maintain quality through rigorous review processes.</w:t>
      </w:r>
    </w:p>
    <w:p>
      <w:pPr>
        <w:pStyle w:val="Heading2"/>
      </w:pPr>
      <w:r>
        <w:t>5.1 What Reviewers Look For</w:t>
      </w:r>
    </w:p>
    <w:p>
      <w:r>
        <w:t>Reviewers for Q2 and Q3 journals evaluate submissions based on several key criteria:</w:t>
      </w:r>
    </w:p>
    <w:p>
      <w:pPr>
        <w:pStyle w:val="Heading3"/>
      </w:pPr>
      <w:r>
        <w:t>Originality and Contribution</w:t>
      </w:r>
    </w:p>
    <w:p>
      <w:r>
        <w:t>Q2 journals expect clear contributions that advance knowledge in the field. While not requiring groundbreaking discoveries, manuscripts should demonstrate incremental advances, novel applications, or meaningful replications.</w:t>
      </w:r>
    </w:p>
    <w:p>
      <w:pPr>
        <w:pStyle w:val="Heading3"/>
      </w:pPr>
      <w:r>
        <w:t>Methodological Soundness</w:t>
      </w:r>
    </w:p>
    <w:p>
      <w:r>
        <w:t>Reviewers assess whether methods are appropriate, well-described, and rigorously applied. Clear methodology sections that allow replication are essential for Q2/Q3 acceptance.</w:t>
      </w:r>
    </w:p>
    <w:p>
      <w:pPr>
        <w:pStyle w:val="Heading3"/>
      </w:pPr>
      <w:r>
        <w:t>Clarity and Organization</w:t>
      </w:r>
    </w:p>
    <w:p>
      <w:r>
        <w:t>Well-structured manuscripts with clear writing have higher acceptance chances. Reviewers appreciate logical flow, appropriate section lengths, and professional presentation.</w:t>
      </w:r>
    </w:p>
    <w:p>
      <w:pPr>
        <w:pStyle w:val="Heading3"/>
      </w:pPr>
      <w:r>
        <w:t>Literature Context</w:t>
      </w:r>
    </w:p>
    <w:p>
      <w:r>
        <w:t>Manuscripts should demonstrate awareness of relevant prior work. While exhaustive literature reviews aren't expected, key references must be cited and contextualized.</w:t>
      </w:r>
    </w:p>
    <w:p>
      <w:pPr>
        <w:pStyle w:val="Heading2"/>
      </w:pPr>
      <w:r>
        <w:t>5.2 Common Rejection Reasons</w:t>
      </w:r>
    </w:p>
    <w:p>
      <w:r>
        <w:t>Understanding why manuscripts are rejected helps avoid common pitfalls:</w:t>
      </w:r>
    </w:p>
    <w:p>
      <w:pPr>
        <w:numPr>
          <w:ilvl w:val="0"/>
          <w:numId w:val="1"/>
        </w:numPr>
        <w:spacing w:after="120"/>
      </w:pPr>
      <w:r>
        <w:rPr>
          <w:b/>
        </w:rPr>
        <w:t>Scope Mismatch</w:t>
      </w:r>
      <w:r>
        <w:t>: The most common rejection reason - submitting to journals whose aims don't align with your research topic.</w:t>
      </w:r>
    </w:p>
    <w:p>
      <w:pPr>
        <w:numPr>
          <w:ilvl w:val="0"/>
          <w:numId w:val="1"/>
        </w:numPr>
        <w:spacing w:after="120"/>
      </w:pPr>
      <w:r>
        <w:rPr>
          <w:b/>
        </w:rPr>
        <w:t>Insufficient Novelty</w:t>
      </w:r>
      <w:r>
        <w:t>: Manuscripts that merely describe without advancing knowledge or providing new insights.</w:t>
      </w:r>
    </w:p>
    <w:p>
      <w:pPr>
        <w:numPr>
          <w:ilvl w:val="0"/>
          <w:numId w:val="1"/>
        </w:numPr>
        <w:spacing w:after="120"/>
      </w:pPr>
      <w:r>
        <w:rPr>
          <w:b/>
        </w:rPr>
        <w:t>Methodological Concerns</w:t>
      </w:r>
      <w:r>
        <w:t>: Flawed study design, inadequate sample sizes, inappropriate statistical analyses, or non-reproducible methods.</w:t>
      </w:r>
    </w:p>
    <w:p>
      <w:pPr>
        <w:numPr>
          <w:ilvl w:val="0"/>
          <w:numId w:val="1"/>
        </w:numPr>
        <w:spacing w:after="120"/>
      </w:pPr>
      <w:r>
        <w:rPr>
          <w:b/>
        </w:rPr>
        <w:t>Poor Writing Quality</w:t>
      </w:r>
      <w:r>
        <w:t>: Unclear expression, grammatical errors, disorganized structure, or excessive jargon.</w:t>
      </w:r>
    </w:p>
    <w:p>
      <w:pPr>
        <w:numPr>
          <w:ilvl w:val="0"/>
          <w:numId w:val="1"/>
        </w:numPr>
        <w:spacing w:after="120"/>
      </w:pPr>
      <w:r>
        <w:rPr>
          <w:b/>
        </w:rPr>
        <w:t>Incomplete Literature Review</w:t>
      </w:r>
      <w:r>
        <w:t>: Missing key references, especially recent publications in the target journal.</w:t>
      </w:r>
    </w:p>
    <w:p>
      <w:pPr>
        <w:numPr>
          <w:ilvl w:val="0"/>
          <w:numId w:val="1"/>
        </w:numPr>
        <w:spacing w:after="120"/>
      </w:pPr>
      <w:r>
        <w:rPr>
          <w:b/>
        </w:rPr>
        <w:t>Overstated Conclusions</w:t>
      </w:r>
      <w:r>
        <w:t>: Claims that exceed what the data supports or generalizations beyond the study's scope.</w:t>
      </w:r>
    </w:p>
    <w:p>
      <w:pPr>
        <w:pStyle w:val="Heading2"/>
      </w:pPr>
      <w:r>
        <w:t>5.3 Editorial Decisions</w:t>
      </w:r>
    </w:p>
    <w:tbl>
      <w:tblPr>
        <w:tblW w:w="5000" w:type="pct"/>
        <w:tblBorders>
          <w:top w:val="single" w:color="00695C" w:sz="12"/>
          <w:left w:val="nil"/>
          <w:bottom w:val="single" w:color="00695C" w:sz="12"/>
          <w:right w:val="nil"/>
          <w:insideH w:val="single" w:color="E0E0E0" w:sz="4"/>
          <w:insideV w:val="nil"/>
        </w:tblBorders>
      </w:tblPr>
      <w:tblGrid>
        <w:gridCol w:w="2500"/>
        <w:gridCol w:w="6500"/>
      </w:tblGrid>
      <w:tr>
        <w:trPr>
          <w:tblHeader/>
        </w:trPr>
        <w:tc>
          <w:tcPr>
            <w:tcW w:w="0" w:type="auto"/>
            <w:tcBorders>
              <w:bottom w:val="single" w:color="00695C" w:sz="8"/>
            </w:tcBorders>
            <w:shd w:val="clear" w:fill="E0F2F1"/>
            <w:vAlign w:val="center"/>
          </w:tcPr>
          <w:p>
            <w:pPr>
              <w:spacing w:before="100" w:after="100"/>
              <w:jc w:val="center"/>
            </w:pPr>
            <w:r>
              <w:rPr>
                <w:b/>
                <w:color w:val="212121"/>
                <w:sz w:val="21"/>
              </w:rPr>
              <w:t>Decision</w:t>
            </w:r>
          </w:p>
        </w:tc>
        <w:tc>
          <w:tcPr>
            <w:tcW w:w="0" w:type="auto"/>
            <w:tcBorders>
              <w:bottom w:val="single" w:color="00695C" w:sz="8"/>
            </w:tcBorders>
            <w:shd w:val="clear" w:fill="E0F2F1"/>
            <w:vAlign w:val="center"/>
          </w:tcPr>
          <w:p>
            <w:pPr>
              <w:spacing w:before="100" w:after="100"/>
              <w:jc w:val="center"/>
            </w:pPr>
            <w:r>
              <w:rPr>
                <w:b/>
                <w:color w:val="212121"/>
                <w:sz w:val="21"/>
              </w:rPr>
              <w:t>Meaning and Next Steps</w:t>
            </w:r>
          </w:p>
        </w:tc>
      </w:tr>
      <w:tr>
        <w:tc>
          <w:tcPr>
            <w:tcW w:w="0" w:type="auto"/>
            <w:vAlign w:val="center"/>
          </w:tcPr>
          <w:p>
            <w:pPr>
              <w:spacing w:before="80" w:after="80"/>
              <w:jc w:val="left"/>
            </w:pPr>
            <w:r>
              <w:rPr>
                <w:color w:val="212121"/>
                <w:sz w:val="20"/>
              </w:rPr>
              <w:t>Accept</w:t>
            </w:r>
          </w:p>
        </w:tc>
        <w:tc>
          <w:tcPr>
            <w:tcW w:w="0" w:type="auto"/>
            <w:vAlign w:val="center"/>
          </w:tcPr>
          <w:p>
            <w:pPr>
              <w:spacing w:before="80" w:after="80"/>
              <w:jc w:val="center"/>
            </w:pPr>
            <w:r>
              <w:rPr>
                <w:color w:val="212121"/>
                <w:sz w:val="20"/>
              </w:rPr>
              <w:t>Manuscript accepted as-is or with minor proof corrections.</w:t>
            </w:r>
          </w:p>
        </w:tc>
      </w:tr>
      <w:tr>
        <w:tc>
          <w:tcPr>
            <w:tcW w:w="0" w:type="auto"/>
            <w:vAlign w:val="center"/>
          </w:tcPr>
          <w:p>
            <w:pPr>
              <w:spacing w:before="80" w:after="80"/>
              <w:jc w:val="left"/>
            </w:pPr>
            <w:r>
              <w:rPr>
                <w:color w:val="212121"/>
                <w:sz w:val="20"/>
              </w:rPr>
              <w:t>Minor Revision</w:t>
            </w:r>
          </w:p>
        </w:tc>
        <w:tc>
          <w:tcPr>
            <w:tcW w:w="0" w:type="auto"/>
            <w:vAlign w:val="center"/>
          </w:tcPr>
          <w:p>
            <w:pPr>
              <w:spacing w:before="80" w:after="80"/>
              <w:jc w:val="center"/>
            </w:pPr>
            <w:r>
              <w:rPr>
                <w:color w:val="212121"/>
                <w:sz w:val="20"/>
              </w:rPr>
              <w:t>Small changes needed; address comments and resubmit.</w:t>
            </w:r>
          </w:p>
        </w:tc>
      </w:tr>
      <w:tr>
        <w:tc>
          <w:tcPr>
            <w:tcW w:w="0" w:type="auto"/>
            <w:vAlign w:val="center"/>
          </w:tcPr>
          <w:p>
            <w:pPr>
              <w:spacing w:before="80" w:after="80"/>
              <w:jc w:val="left"/>
            </w:pPr>
            <w:r>
              <w:rPr>
                <w:color w:val="212121"/>
                <w:sz w:val="20"/>
              </w:rPr>
              <w:t>Major Revision</w:t>
            </w:r>
          </w:p>
        </w:tc>
        <w:tc>
          <w:tcPr>
            <w:tcW w:w="0" w:type="auto"/>
            <w:vAlign w:val="center"/>
          </w:tcPr>
          <w:p>
            <w:pPr>
              <w:spacing w:before="80" w:after="80"/>
              <w:jc w:val="center"/>
            </w:pPr>
            <w:r>
              <w:rPr>
                <w:color w:val="212121"/>
                <w:sz w:val="20"/>
              </w:rPr>
              <w:t>Substantial changes required; may return to reviewers.</w:t>
            </w:r>
          </w:p>
        </w:tc>
      </w:tr>
      <w:tr>
        <w:tc>
          <w:tcPr>
            <w:tcW w:w="0" w:type="auto"/>
            <w:vAlign w:val="center"/>
          </w:tcPr>
          <w:p>
            <w:pPr>
              <w:spacing w:before="80" w:after="80"/>
              <w:jc w:val="left"/>
            </w:pPr>
            <w:r>
              <w:rPr>
                <w:color w:val="212121"/>
                <w:sz w:val="20"/>
              </w:rPr>
              <w:t>Reject &amp; Resubmit</w:t>
            </w:r>
          </w:p>
        </w:tc>
        <w:tc>
          <w:tcPr>
            <w:tcW w:w="0" w:type="auto"/>
            <w:vAlign w:val="center"/>
          </w:tcPr>
          <w:p>
            <w:pPr>
              <w:spacing w:before="80" w:after="80"/>
              <w:jc w:val="center"/>
            </w:pPr>
            <w:r>
              <w:rPr>
                <w:color w:val="212121"/>
                <w:sz w:val="20"/>
              </w:rPr>
              <w:t>Major overhaul needed; invited for new submission.</w:t>
            </w:r>
          </w:p>
        </w:tc>
      </w:tr>
      <w:tr>
        <w:tc>
          <w:tcPr>
            <w:tcW w:w="0" w:type="auto"/>
            <w:vAlign w:val="center"/>
          </w:tcPr>
          <w:p>
            <w:pPr>
              <w:spacing w:before="80" w:after="80"/>
              <w:jc w:val="left"/>
            </w:pPr>
            <w:r>
              <w:rPr>
                <w:color w:val="212121"/>
                <w:sz w:val="20"/>
              </w:rPr>
              <w:t>Reject</w:t>
            </w:r>
          </w:p>
        </w:tc>
        <w:tc>
          <w:tcPr>
            <w:tcW w:w="0" w:type="auto"/>
            <w:vAlign w:val="center"/>
          </w:tcPr>
          <w:p>
            <w:pPr>
              <w:spacing w:before="80" w:after="80"/>
              <w:jc w:val="center"/>
            </w:pPr>
            <w:r>
              <w:rPr>
                <w:color w:val="212121"/>
                <w:sz w:val="20"/>
              </w:rPr>
              <w:t>Not suitable; submit to a different journal.</w:t>
            </w:r>
          </w:p>
        </w:tc>
      </w:tr>
    </w:tbl>
    <w:p>
      <w:pPr>
        <w:pStyle w:val="Caption"/>
      </w:pPr>
      <w:r>
        <w:t>Table 6: Editorial Decision Types in Q2/Q3 Journals</w:t>
      </w:r>
    </w:p>
    <w:p>
      <w:pPr>
        <w:pStyle w:val="Heading1"/>
      </w:pPr>
      <w:r>
        <w:t>Chapter 6: Publication Strategies</w:t>
      </w:r>
    </w:p>
    <w:p>
      <w:r>
        <w:t>Successful publication in Q2 and Q3 journals requires strategic planning and execution. This chapter provides actionable strategies to maximize your acceptance chances.</w:t>
      </w:r>
    </w:p>
    <w:p>
      <w:pPr>
        <w:pStyle w:val="Heading2"/>
      </w:pPr>
      <w:r>
        <w:t>6.1 Writing for Q2/Q3 Journals</w:t>
      </w:r>
    </w:p>
    <w:p>
      <w:pPr>
        <w:pStyle w:val="Heading3"/>
      </w:pPr>
      <w:r>
        <w:t>Crafting Effective Titles</w:t>
      </w:r>
    </w:p>
    <w:p>
      <w:r>
        <w:t>Titles for Q2/Q3 journals should be clear, informative, and searchable:</w:t>
      </w:r>
    </w:p>
    <w:p>
      <w:pPr>
        <w:numPr>
          <w:ilvl w:val="0"/>
          <w:numId w:val="2"/>
        </w:numPr>
        <w:spacing w:after="120"/>
      </w:pPr>
      <w:r>
        <w:rPr>
          <w:b/>
        </w:rPr>
        <w:t>Be Specific</w:t>
      </w:r>
      <w:r>
        <w:t>: Include key variables, methods, or populations studied.</w:t>
      </w:r>
    </w:p>
    <w:p>
      <w:pPr>
        <w:numPr>
          <w:ilvl w:val="0"/>
          <w:numId w:val="2"/>
        </w:numPr>
        <w:spacing w:after="120"/>
      </w:pPr>
      <w:r>
        <w:rPr>
          <w:b/>
        </w:rPr>
        <w:t>Avoid Hype</w:t>
      </w:r>
      <w:r>
        <w:t>: Q2/Q3 reviewers appreciate accuracy over sensationalism.</w:t>
      </w:r>
    </w:p>
    <w:p>
      <w:pPr>
        <w:numPr>
          <w:ilvl w:val="0"/>
          <w:numId w:val="2"/>
        </w:numPr>
        <w:spacing w:after="120"/>
      </w:pPr>
      <w:r>
        <w:rPr>
          <w:b/>
        </w:rPr>
        <w:t>Include Keywords</w:t>
      </w:r>
      <w:r>
        <w:t>: Help readers find your work through search engines.</w:t>
      </w:r>
    </w:p>
    <w:p>
      <w:pPr>
        <w:numPr>
          <w:ilvl w:val="0"/>
          <w:numId w:val="2"/>
        </w:numPr>
        <w:spacing w:after="120"/>
      </w:pPr>
      <w:r>
        <w:rPr>
          <w:b/>
        </w:rPr>
        <w:t>Keep It Concise</w:t>
      </w:r>
      <w:r>
        <w:t>: Aim for 10-15 words that capture the essence of your study.</w:t>
      </w:r>
    </w:p>
    <w:p>
      <w:pPr>
        <w:pStyle w:val="Heading3"/>
      </w:pPr>
      <w:r>
        <w:t>Writing Clear Abstracts</w:t>
      </w:r>
    </w:p>
    <w:p>
      <w:r>
        <w:t>Abstracts should follow the IMRAD structure (Introduction, Methods, Results, and Discussion) and clearly state:</w:t>
      </w:r>
    </w:p>
    <w:p>
      <w:pPr>
        <w:numPr>
          <w:ilvl w:val="0"/>
          <w:numId w:val="2"/>
        </w:numPr>
        <w:spacing w:after="120"/>
      </w:pPr>
      <w:r>
        <w:rPr>
          <w:b/>
        </w:rPr>
        <w:t>Research Problem</w:t>
      </w:r>
      <w:r>
        <w:t>: What gap does your study address?</w:t>
      </w:r>
    </w:p>
    <w:p>
      <w:pPr>
        <w:numPr>
          <w:ilvl w:val="0"/>
          <w:numId w:val="2"/>
        </w:numPr>
        <w:spacing w:after="120"/>
      </w:pPr>
      <w:r>
        <w:rPr>
          <w:b/>
        </w:rPr>
        <w:t>Methods</w:t>
      </w:r>
      <w:r>
        <w:t>: How did you conduct the research?</w:t>
      </w:r>
    </w:p>
    <w:p>
      <w:pPr>
        <w:numPr>
          <w:ilvl w:val="0"/>
          <w:numId w:val="2"/>
        </w:numPr>
        <w:spacing w:after="120"/>
      </w:pPr>
      <w:r>
        <w:rPr>
          <w:b/>
        </w:rPr>
        <w:t>Key Findings</w:t>
      </w:r>
      <w:r>
        <w:t>: What are the main results?</w:t>
      </w:r>
    </w:p>
    <w:p>
      <w:pPr>
        <w:numPr>
          <w:ilvl w:val="0"/>
          <w:numId w:val="2"/>
        </w:numPr>
        <w:spacing w:after="120"/>
      </w:pPr>
      <w:r>
        <w:rPr>
          <w:b/>
        </w:rPr>
        <w:t>Implications</w:t>
      </w:r>
      <w:r>
        <w:t>: Why do the findings matter?</w:t>
      </w:r>
    </w:p>
    <w:p>
      <w:pPr>
        <w:pStyle w:val="Heading3"/>
      </w:pPr>
      <w:r>
        <w:t>Structuring the Introduction</w:t>
      </w:r>
    </w:p>
    <w:p>
      <w:r>
        <w:t>The introduction should establish context, identify the research gap, and state objectives clearly. For Q2/Q3 journals, a focused introduction of 2-3 pages is typically appropriate.</w:t>
      </w:r>
    </w:p>
    <w:p>
      <w:pPr>
        <w:pStyle w:val="Heading2"/>
      </w:pPr>
      <w:r>
        <w:t>6.2 Journal Selection Strategy</w:t>
      </w:r>
    </w:p>
    <w:p>
      <w:r>
        <w:t>Strategic journal selection increases your chances of acceptance:</w:t>
      </w:r>
    </w:p>
    <w:p>
      <w:pPr>
        <w:keepNext/>
        <w:spacing w:before="200" w:after="80"/>
        <w:jc w:val="center"/>
      </w:pPr>
      <w:r>
        <w:drawing>
          <wp:inline distT="0" distB="0" distL="0" distR="0">
            <wp:extent cx="5400000" cy="5400000"/>
            <wp:effectExtent l="0" t="0" r="0" b="0"/>
            <wp:docPr id="11" name="Q2 Q3 Strategy"/>
            <wp:cNvGraphicFramePr>
              <a:graphicFrameLocks noChangeAspect="1"/>
            </wp:cNvGraphicFramePr>
            <a:graphic>
              <a:graphicData uri="http://schemas.openxmlformats.org/drawingml/2006/picture">
                <pic:pic>
                  <pic:nvPicPr>
                    <pic:cNvPr id="0" name="Q2 Q3 Strategy.png"/>
                    <pic:cNvPicPr/>
                  </pic:nvPicPr>
                  <pic:blipFill>
                    <a:blip r:embed="R6f1de68636de47bc"/>
                    <a:stretch>
                      <a:fillRect/>
                    </a:stretch>
                  </pic:blipFill>
                  <pic:spPr>
                    <a:xfrm>
                      <a:off x="0" y="0"/>
                      <a:ext cx="5400000" cy="5400000"/>
                    </a:xfrm>
                    <a:prstGeom prst="rect"/>
                  </pic:spPr>
                </pic:pic>
              </a:graphicData>
            </a:graphic>
          </wp:inline>
        </w:drawing>
      </w:r>
    </w:p>
    <w:p>
      <w:pPr>
        <w:pStyle w:val="Caption"/>
      </w:pPr>
      <w:r>
        <w:t>Figure 2: Strategic Publication Planning for Q2 &amp; Q3 Journals</w:t>
      </w:r>
    </w:p>
    <w:p>
      <w:pPr>
        <w:pStyle w:val="Heading3"/>
      </w:pPr>
      <w:r>
        <w:t>The Tiered Approach</w:t>
      </w:r>
    </w:p>
    <w:p>
      <w:r>
        <w:t>Consider using a tiered submission strategy for each manuscript:</w:t>
      </w:r>
    </w:p>
    <w:p>
      <w:pPr>
        <w:numPr>
          <w:ilvl w:val="0"/>
          <w:numId w:val="1"/>
        </w:numPr>
        <w:spacing w:after="120"/>
      </w:pPr>
      <w:r>
        <w:rPr>
          <w:b/>
        </w:rPr>
        <w:t>First Tier</w:t>
      </w:r>
      <w:r>
        <w:t>: Target your ideal Q2 journal that matches your research scope.</w:t>
      </w:r>
    </w:p>
    <w:p>
      <w:pPr>
        <w:numPr>
          <w:ilvl w:val="0"/>
          <w:numId w:val="1"/>
        </w:numPr>
        <w:spacing w:after="120"/>
      </w:pPr>
      <w:r>
        <w:rPr>
          <w:b/>
        </w:rPr>
        <w:t>Second Tier</w:t>
      </w:r>
      <w:r>
        <w:t>: Identify 2-3 alternative Q2 journals with slightly broader scope.</w:t>
      </w:r>
    </w:p>
    <w:p>
      <w:pPr>
        <w:numPr>
          <w:ilvl w:val="0"/>
          <w:numId w:val="1"/>
        </w:numPr>
        <w:spacing w:after="120"/>
      </w:pPr>
      <w:r>
        <w:rPr>
          <w:b/>
        </w:rPr>
        <w:t>Third Tier</w:t>
      </w:r>
      <w:r>
        <w:t>: Select appropriate Q3 journals for faster publication if needed.</w:t>
      </w:r>
    </w:p>
    <w:p>
      <w:pPr>
        <w:pStyle w:val="Heading3"/>
      </w:pPr>
      <w:r>
        <w:t>Research Before Submitting</w:t>
      </w:r>
    </w:p>
    <w:p>
      <w:r>
        <w:t>Before submitting to any journal:</w:t>
      </w:r>
    </w:p>
    <w:p>
      <w:pPr>
        <w:numPr>
          <w:ilvl w:val="0"/>
          <w:numId w:val="2"/>
        </w:numPr>
        <w:spacing w:after="120"/>
      </w:pPr>
      <w:r>
        <w:rPr>
          <w:b/>
        </w:rPr>
        <w:t>Read the Aims and Scope</w:t>
      </w:r>
      <w:r>
        <w:t>: Verify your research aligns with the journal's focus.</w:t>
      </w:r>
    </w:p>
    <w:p>
      <w:pPr>
        <w:numPr>
          <w:ilvl w:val="0"/>
          <w:numId w:val="2"/>
        </w:numPr>
        <w:spacing w:after="120"/>
      </w:pPr>
      <w:r>
        <w:rPr>
          <w:b/>
        </w:rPr>
        <w:t>Review Recent Articles</w:t>
      </w:r>
      <w:r>
        <w:t>: Understand the type of research the journal publishes.</w:t>
      </w:r>
    </w:p>
    <w:p>
      <w:pPr>
        <w:numPr>
          <w:ilvl w:val="0"/>
          <w:numId w:val="2"/>
        </w:numPr>
        <w:spacing w:after="120"/>
      </w:pPr>
      <w:r>
        <w:rPr>
          <w:b/>
        </w:rPr>
        <w:t>Check Author Guidelines</w:t>
      </w:r>
      <w:r>
        <w:t>: Note formatting requirements, word limits, and submission procedures.</w:t>
      </w:r>
    </w:p>
    <w:p>
      <w:pPr>
        <w:numPr>
          <w:ilvl w:val="0"/>
          <w:numId w:val="2"/>
        </w:numPr>
        <w:spacing w:after="120"/>
      </w:pPr>
      <w:r>
        <w:rPr>
          <w:b/>
        </w:rPr>
        <w:t>Verify Current Quartile</w:t>
      </w:r>
      <w:r>
        <w:t>: Use SCImago or Journal Citation Reports to confirm current ranking.</w:t>
      </w:r>
    </w:p>
    <w:p>
      <w:pPr>
        <w:pStyle w:val="Heading1"/>
      </w:pPr>
      <w:r>
        <w:t>Chapter 7: Building Your Portfolio</w:t>
      </w:r>
    </w:p>
    <w:p>
      <w:r>
        <w:t>A well-planned publication portfolio balances quality, quantity, and strategic positioning. This chapter guides you in developing a portfolio that supports your career goals.</w:t>
      </w:r>
    </w:p>
    <w:p>
      <w:pPr>
        <w:pStyle w:val="Heading2"/>
      </w:pPr>
      <w:r>
        <w:t>7.1 The Balanced Approach</w:t>
      </w:r>
    </w:p>
    <w:p>
      <w:r>
        <w:t>Smart researchers use Q2 and Q3 journals strategically while working toward Q1 publications:</w:t>
      </w:r>
    </w:p>
    <w:p>
      <w:pPr>
        <w:pStyle w:val="Heading3"/>
      </w:pPr>
      <w:r>
        <w:t>Portfolio Mix by Career Stage</w:t>
      </w:r>
    </w:p>
    <w:tbl>
      <w:tblPr>
        <w:tblW w:w="5000" w:type="pct"/>
        <w:tblBorders>
          <w:top w:val="single" w:color="00695C" w:sz="12"/>
          <w:left w:val="nil"/>
          <w:bottom w:val="single" w:color="00695C" w:sz="12"/>
          <w:right w:val="nil"/>
          <w:insideH w:val="single" w:color="E0E0E0" w:sz="4"/>
          <w:insideV w:val="nil"/>
        </w:tblBorders>
      </w:tblPr>
      <w:tblGrid>
        <w:gridCol w:w="2500"/>
        <w:gridCol w:w="1500"/>
        <w:gridCol w:w="1500"/>
        <w:gridCol w:w="1500"/>
        <w:gridCol w:w="2000"/>
      </w:tblGrid>
      <w:tr>
        <w:trPr>
          <w:tblHeader/>
        </w:trPr>
        <w:tc>
          <w:tcPr>
            <w:tcW w:w="0" w:type="auto"/>
            <w:tcBorders>
              <w:bottom w:val="single" w:color="00695C" w:sz="8"/>
            </w:tcBorders>
            <w:shd w:val="clear" w:fill="E0F2F1"/>
            <w:vAlign w:val="center"/>
          </w:tcPr>
          <w:p>
            <w:pPr>
              <w:spacing w:before="100" w:after="100"/>
              <w:jc w:val="center"/>
            </w:pPr>
            <w:r>
              <w:rPr>
                <w:b/>
                <w:color w:val="212121"/>
                <w:sz w:val="21"/>
              </w:rPr>
              <w:t>Career Stage</w:t>
            </w:r>
          </w:p>
        </w:tc>
        <w:tc>
          <w:tcPr>
            <w:tcW w:w="0" w:type="auto"/>
            <w:tcBorders>
              <w:bottom w:val="single" w:color="00695C" w:sz="8"/>
            </w:tcBorders>
            <w:shd w:val="clear" w:fill="E0F2F1"/>
            <w:vAlign w:val="center"/>
          </w:tcPr>
          <w:p>
            <w:pPr>
              <w:spacing w:before="100" w:after="100"/>
              <w:jc w:val="center"/>
            </w:pPr>
            <w:r>
              <w:rPr>
                <w:b/>
                <w:color w:val="212121"/>
                <w:sz w:val="21"/>
              </w:rPr>
              <w:t>Q1 Target</w:t>
            </w:r>
          </w:p>
        </w:tc>
        <w:tc>
          <w:tcPr>
            <w:tcW w:w="0" w:type="auto"/>
            <w:tcBorders>
              <w:bottom w:val="single" w:color="00695C" w:sz="8"/>
            </w:tcBorders>
            <w:shd w:val="clear" w:fill="E0F2F1"/>
            <w:vAlign w:val="center"/>
          </w:tcPr>
          <w:p>
            <w:pPr>
              <w:spacing w:before="100" w:after="100"/>
              <w:jc w:val="center"/>
            </w:pPr>
            <w:r>
              <w:rPr>
                <w:b/>
                <w:color w:val="212121"/>
                <w:sz w:val="21"/>
              </w:rPr>
              <w:t>Q2 Target</w:t>
            </w:r>
          </w:p>
        </w:tc>
        <w:tc>
          <w:tcPr>
            <w:tcW w:w="0" w:type="auto"/>
            <w:tcBorders>
              <w:bottom w:val="single" w:color="00695C" w:sz="8"/>
            </w:tcBorders>
            <w:shd w:val="clear" w:fill="E0F2F1"/>
            <w:vAlign w:val="center"/>
          </w:tcPr>
          <w:p>
            <w:pPr>
              <w:spacing w:before="100" w:after="100"/>
              <w:jc w:val="center"/>
            </w:pPr>
            <w:r>
              <w:rPr>
                <w:b/>
                <w:color w:val="212121"/>
                <w:sz w:val="21"/>
              </w:rPr>
              <w:t>Q3 Acceptable</w:t>
            </w:r>
          </w:p>
        </w:tc>
        <w:tc>
          <w:tcPr>
            <w:tcW w:w="0" w:type="auto"/>
            <w:tcBorders>
              <w:bottom w:val="single" w:color="00695C" w:sz="8"/>
            </w:tcBorders>
            <w:shd w:val="clear" w:fill="E0F2F1"/>
            <w:vAlign w:val="center"/>
          </w:tcPr>
          <w:p>
            <w:pPr>
              <w:spacing w:before="100" w:after="100"/>
              <w:jc w:val="center"/>
            </w:pPr>
            <w:r>
              <w:rPr>
                <w:b/>
                <w:color w:val="212121"/>
                <w:sz w:val="21"/>
              </w:rPr>
              <w:t>Notes</w:t>
            </w:r>
          </w:p>
        </w:tc>
      </w:tr>
      <w:tr>
        <w:tc>
          <w:tcPr>
            <w:tcW w:w="0" w:type="auto"/>
            <w:vAlign w:val="center"/>
          </w:tcPr>
          <w:p>
            <w:pPr>
              <w:spacing w:before="80" w:after="80"/>
              <w:jc w:val="left"/>
            </w:pPr>
            <w:r>
              <w:rPr>
                <w:color w:val="212121"/>
                <w:sz w:val="20"/>
              </w:rPr>
              <w:t>PhD Student</w:t>
            </w:r>
          </w:p>
        </w:tc>
        <w:tc>
          <w:tcPr>
            <w:tcW w:w="0" w:type="auto"/>
            <w:vAlign w:val="center"/>
          </w:tcPr>
          <w:p>
            <w:pPr>
              <w:spacing w:before="80" w:after="80"/>
              <w:jc w:val="center"/>
            </w:pPr>
            <w:r>
              <w:rPr>
                <w:color w:val="212121"/>
                <w:sz w:val="20"/>
              </w:rPr>
              <w:t>10-20%</w:t>
            </w:r>
          </w:p>
        </w:tc>
        <w:tc>
          <w:tcPr>
            <w:tcW w:w="0" w:type="auto"/>
            <w:vAlign w:val="center"/>
          </w:tcPr>
          <w:p>
            <w:pPr>
              <w:spacing w:before="80" w:after="80"/>
              <w:jc w:val="center"/>
            </w:pPr>
            <w:r>
              <w:rPr>
                <w:color w:val="212121"/>
                <w:sz w:val="20"/>
              </w:rPr>
              <w:t>40-50%</w:t>
            </w:r>
          </w:p>
        </w:tc>
        <w:tc>
          <w:tcPr>
            <w:tcW w:w="0" w:type="auto"/>
            <w:vAlign w:val="center"/>
          </w:tcPr>
          <w:p>
            <w:pPr>
              <w:spacing w:before="80" w:after="80"/>
              <w:jc w:val="center"/>
            </w:pPr>
            <w:r>
              <w:rPr>
                <w:color w:val="212121"/>
                <w:sz w:val="20"/>
              </w:rPr>
              <w:t>30-40%</w:t>
            </w:r>
          </w:p>
        </w:tc>
        <w:tc>
          <w:tcPr>
            <w:tcW w:w="0" w:type="auto"/>
            <w:vAlign w:val="center"/>
          </w:tcPr>
          <w:p>
            <w:pPr>
              <w:spacing w:before="80" w:after="80"/>
              <w:jc w:val="center"/>
            </w:pPr>
            <w:r>
              <w:rPr>
                <w:color w:val="212121"/>
                <w:sz w:val="20"/>
              </w:rPr>
              <w:t>Build foundation</w:t>
            </w:r>
          </w:p>
        </w:tc>
      </w:tr>
      <w:tr>
        <w:tc>
          <w:tcPr>
            <w:tcW w:w="0" w:type="auto"/>
            <w:vAlign w:val="center"/>
          </w:tcPr>
          <w:p>
            <w:pPr>
              <w:spacing w:before="80" w:after="80"/>
              <w:jc w:val="left"/>
            </w:pPr>
            <w:r>
              <w:rPr>
                <w:color w:val="212121"/>
                <w:sz w:val="20"/>
              </w:rPr>
              <w:t>Postdoc</w:t>
            </w:r>
          </w:p>
        </w:tc>
        <w:tc>
          <w:tcPr>
            <w:tcW w:w="0" w:type="auto"/>
            <w:vAlign w:val="center"/>
          </w:tcPr>
          <w:p>
            <w:pPr>
              <w:spacing w:before="80" w:after="80"/>
              <w:jc w:val="center"/>
            </w:pPr>
            <w:r>
              <w:rPr>
                <w:color w:val="212121"/>
                <w:sz w:val="20"/>
              </w:rPr>
              <w:t>20-30%</w:t>
            </w:r>
          </w:p>
        </w:tc>
        <w:tc>
          <w:tcPr>
            <w:tcW w:w="0" w:type="auto"/>
            <w:vAlign w:val="center"/>
          </w:tcPr>
          <w:p>
            <w:pPr>
              <w:spacing w:before="80" w:after="80"/>
              <w:jc w:val="center"/>
            </w:pPr>
            <w:r>
              <w:rPr>
                <w:color w:val="212121"/>
                <w:sz w:val="20"/>
              </w:rPr>
              <w:t>40-50%</w:t>
            </w:r>
          </w:p>
        </w:tc>
        <w:tc>
          <w:tcPr>
            <w:tcW w:w="0" w:type="auto"/>
            <w:vAlign w:val="center"/>
          </w:tcPr>
          <w:p>
            <w:pPr>
              <w:spacing w:before="80" w:after="80"/>
              <w:jc w:val="center"/>
            </w:pPr>
            <w:r>
              <w:rPr>
                <w:color w:val="212121"/>
                <w:sz w:val="20"/>
              </w:rPr>
              <w:t>20-30%</w:t>
            </w:r>
          </w:p>
        </w:tc>
        <w:tc>
          <w:tcPr>
            <w:tcW w:w="0" w:type="auto"/>
            <w:vAlign w:val="center"/>
          </w:tcPr>
          <w:p>
            <w:pPr>
              <w:spacing w:before="80" w:after="80"/>
              <w:jc w:val="center"/>
            </w:pPr>
            <w:r>
              <w:rPr>
                <w:color w:val="212121"/>
                <w:sz w:val="20"/>
              </w:rPr>
              <w:t>Establish expertise</w:t>
            </w:r>
          </w:p>
        </w:tc>
      </w:tr>
      <w:tr>
        <w:tc>
          <w:tcPr>
            <w:tcW w:w="0" w:type="auto"/>
            <w:vAlign w:val="center"/>
          </w:tcPr>
          <w:p>
            <w:pPr>
              <w:spacing w:before="80" w:after="80"/>
              <w:jc w:val="left"/>
            </w:pPr>
            <w:r>
              <w:rPr>
                <w:color w:val="212121"/>
                <w:sz w:val="20"/>
              </w:rPr>
              <w:t>Junior Faculty</w:t>
            </w:r>
          </w:p>
        </w:tc>
        <w:tc>
          <w:tcPr>
            <w:tcW w:w="0" w:type="auto"/>
            <w:vAlign w:val="center"/>
          </w:tcPr>
          <w:p>
            <w:pPr>
              <w:spacing w:before="80" w:after="80"/>
              <w:jc w:val="center"/>
            </w:pPr>
            <w:r>
              <w:rPr>
                <w:color w:val="212121"/>
                <w:sz w:val="20"/>
              </w:rPr>
              <w:t>30-40%</w:t>
            </w:r>
          </w:p>
        </w:tc>
        <w:tc>
          <w:tcPr>
            <w:tcW w:w="0" w:type="auto"/>
            <w:vAlign w:val="center"/>
          </w:tcPr>
          <w:p>
            <w:pPr>
              <w:spacing w:before="80" w:after="80"/>
              <w:jc w:val="center"/>
            </w:pPr>
            <w:r>
              <w:rPr>
                <w:color w:val="212121"/>
                <w:sz w:val="20"/>
              </w:rPr>
              <w:t>40-50%</w:t>
            </w:r>
          </w:p>
        </w:tc>
        <w:tc>
          <w:tcPr>
            <w:tcW w:w="0" w:type="auto"/>
            <w:vAlign w:val="center"/>
          </w:tcPr>
          <w:p>
            <w:pPr>
              <w:spacing w:before="80" w:after="80"/>
              <w:jc w:val="center"/>
            </w:pPr>
            <w:r>
              <w:rPr>
                <w:color w:val="212121"/>
                <w:sz w:val="20"/>
              </w:rPr>
              <w:t>10-20%</w:t>
            </w:r>
          </w:p>
        </w:tc>
        <w:tc>
          <w:tcPr>
            <w:tcW w:w="0" w:type="auto"/>
            <w:vAlign w:val="center"/>
          </w:tcPr>
          <w:p>
            <w:pPr>
              <w:spacing w:before="80" w:after="80"/>
              <w:jc w:val="center"/>
            </w:pPr>
            <w:r>
              <w:rPr>
                <w:color w:val="212121"/>
                <w:sz w:val="20"/>
              </w:rPr>
              <w:t>Balance quality/volume</w:t>
            </w:r>
          </w:p>
        </w:tc>
      </w:tr>
      <w:tr>
        <w:tc>
          <w:tcPr>
            <w:tcW w:w="0" w:type="auto"/>
            <w:vAlign w:val="center"/>
          </w:tcPr>
          <w:p>
            <w:pPr>
              <w:spacing w:before="80" w:after="80"/>
              <w:jc w:val="left"/>
            </w:pPr>
            <w:r>
              <w:rPr>
                <w:color w:val="212121"/>
                <w:sz w:val="20"/>
              </w:rPr>
              <w:t>Senior Faculty</w:t>
            </w:r>
          </w:p>
        </w:tc>
        <w:tc>
          <w:tcPr>
            <w:tcW w:w="0" w:type="auto"/>
            <w:vAlign w:val="center"/>
          </w:tcPr>
          <w:p>
            <w:pPr>
              <w:spacing w:before="80" w:after="80"/>
              <w:jc w:val="center"/>
            </w:pPr>
            <w:r>
              <w:rPr>
                <w:color w:val="212121"/>
                <w:sz w:val="20"/>
              </w:rPr>
              <w:t>50-60%</w:t>
            </w:r>
          </w:p>
        </w:tc>
        <w:tc>
          <w:tcPr>
            <w:tcW w:w="0" w:type="auto"/>
            <w:vAlign w:val="center"/>
          </w:tcPr>
          <w:p>
            <w:pPr>
              <w:spacing w:before="80" w:after="80"/>
              <w:jc w:val="center"/>
            </w:pPr>
            <w:r>
              <w:rPr>
                <w:color w:val="212121"/>
                <w:sz w:val="20"/>
              </w:rPr>
              <w:t>30-40%</w:t>
            </w:r>
          </w:p>
        </w:tc>
        <w:tc>
          <w:tcPr>
            <w:tcW w:w="0" w:type="auto"/>
            <w:vAlign w:val="center"/>
          </w:tcPr>
          <w:p>
            <w:pPr>
              <w:spacing w:before="80" w:after="80"/>
              <w:jc w:val="center"/>
            </w:pPr>
            <w:r>
              <w:rPr>
                <w:color w:val="212121"/>
                <w:sz w:val="20"/>
              </w:rPr>
              <w:t>5-10%</w:t>
            </w:r>
          </w:p>
        </w:tc>
        <w:tc>
          <w:tcPr>
            <w:tcW w:w="0" w:type="auto"/>
            <w:vAlign w:val="center"/>
          </w:tcPr>
          <w:p>
            <w:pPr>
              <w:spacing w:before="80" w:after="80"/>
              <w:jc w:val="center"/>
            </w:pPr>
            <w:r>
              <w:rPr>
                <w:color w:val="212121"/>
                <w:sz w:val="20"/>
              </w:rPr>
              <w:t>Focus on impact</w:t>
            </w:r>
          </w:p>
        </w:tc>
      </w:tr>
    </w:tbl>
    <w:p>
      <w:pPr>
        <w:pStyle w:val="Caption"/>
      </w:pPr>
      <w:r>
        <w:t>Table 7: Recommended Publication Portfolio Mix by Career Stage</w:t>
      </w:r>
    </w:p>
    <w:p>
      <w:pPr>
        <w:pStyle w:val="Heading3"/>
      </w:pPr>
      <w:r>
        <w:t>Quality vs. Quantity Balance</w:t>
      </w:r>
    </w:p>
    <w:p>
      <w:r>
        <w:t>The quality-quantity balance depends on your specific career context:</w:t>
      </w:r>
    </w:p>
    <w:p>
      <w:pPr>
        <w:numPr>
          <w:ilvl w:val="0"/>
          <w:numId w:val="2"/>
        </w:numPr>
        <w:spacing w:after="120"/>
      </w:pPr>
      <w:r>
        <w:rPr>
          <w:b/>
        </w:rPr>
        <w:t>Academic Positions</w:t>
      </w:r>
      <w:r>
        <w:t>: Quality (Q1/Q2) often outweighs quantity, but some volume demonstrates productivity.</w:t>
      </w:r>
    </w:p>
    <w:p>
      <w:pPr>
        <w:numPr>
          <w:ilvl w:val="0"/>
          <w:numId w:val="2"/>
        </w:numPr>
        <w:spacing w:after="120"/>
      </w:pPr>
      <w:r>
        <w:rPr>
          <w:b/>
        </w:rPr>
        <w:t>Industry Roles</w:t>
      </w:r>
      <w:r>
        <w:t>: Both quality and relevance to industry applications matter.</w:t>
      </w:r>
    </w:p>
    <w:p>
      <w:pPr>
        <w:numPr>
          <w:ilvl w:val="0"/>
          <w:numId w:val="2"/>
        </w:numPr>
        <w:spacing w:after="120"/>
      </w:pPr>
      <w:r>
        <w:rPr>
          <w:b/>
        </w:rPr>
        <w:t>Grant Applications</w:t>
      </w:r>
      <w:r>
        <w:t>: Q1/Q2 publications carry more weight, but a consistent record helps.</w:t>
      </w:r>
    </w:p>
    <w:p>
      <w:pPr>
        <w:numPr>
          <w:ilvl w:val="0"/>
          <w:numId w:val="2"/>
        </w:numPr>
        <w:spacing w:after="120"/>
      </w:pPr>
      <w:r>
        <w:rPr>
          <w:b/>
        </w:rPr>
        <w:t>PhD Completion</w:t>
      </w:r>
      <w:r>
        <w:t>: Meeting minimum requirements is the priority; Q2/Q3 journals are perfectly acceptable.</w:t>
      </w:r>
    </w:p>
    <w:p>
      <w:pPr>
        <w:pStyle w:val="Heading2"/>
      </w:pPr>
      <w:r>
        <w:t>7.2 Long-Term Career Planning</w:t>
      </w:r>
    </w:p>
    <w:p>
      <w:r>
        <w:t>Develop a publication strategy that evolves with your career:</w:t>
      </w:r>
    </w:p>
    <w:p>
      <w:pPr>
        <w:pStyle w:val="Heading3"/>
      </w:pPr>
      <w:r>
        <w:t>Early Career (PhD-Postdoc)</w:t>
      </w:r>
    </w:p>
    <w:p>
      <w:r>
        <w:t>Focus on building a solid foundation. Target Q2 journals for quality work and Q3 journals when speed is essential. Aim for 2-3 Q2 publications and 1-2 Q3 publications by the end of your PhD.</w:t>
      </w:r>
    </w:p>
    <w:p>
      <w:pPr>
        <w:pStyle w:val="Heading3"/>
      </w:pPr>
      <w:r>
        <w:t>Mid-Career (Assistant-Associate Professor)</w:t>
      </w:r>
    </w:p>
    <w:p>
      <w:r>
        <w:t>Balance Q1 aspirations with practical Q2/Q3 publications. Use Q2 journals for solid contributions and Q3 for niche work. Aim to increase Q1 proportion to 30-40% of total publications.</w:t>
      </w:r>
    </w:p>
    <w:p>
      <w:pPr>
        <w:pStyle w:val="Heading3"/>
      </w:pPr>
      <w:r>
        <w:t>Senior Career (Full Professor)</w:t>
      </w:r>
    </w:p>
    <w:p>
      <w:r>
        <w:t>Q1 journals become the primary target, but Q2/Q3 journals remain valuable for specialized contributions, regional research, and maintaining productivity between major Q1 papers.</w:t>
      </w:r>
    </w:p>
    <w:p>
      <w:pPr>
        <w:shd w:val="clear" w:fill="E8F5E9"/>
        <w:spacing w:before="200" w:after="200"/>
        <w:ind w:left="360" w:right="360"/>
      </w:pPr>
      <w:r>
        <w:rPr>
          <w:b/>
          <w:color w:val="2E7D32"/>
        </w:rPr>
        <w:t>Success Principle: </w:t>
      </w:r>
      <w:r>
        <w:t>A strategic mix of Q1, Q2, and Q3 publications demonstrates both excellence and productivity. Q2/Q3 journals are not consolation prizes - they are legitimate venues that serve important career functions.</w:t>
      </w:r>
    </w:p>
    <w:p>
      <w:pPr>
        <w:pStyle w:val="Heading1"/>
      </w:pPr>
      <w:r>
        <w:t>Chapter 8: Resources and Tools</w:t>
      </w:r>
    </w:p>
    <w:p>
      <w:r>
        <w:t>Various tools and resources can support your publication strategy in Q2 and Q3 journals. This chapter provides a curated list of valuable resources.</w:t>
      </w:r>
    </w:p>
    <w:p>
      <w:pPr>
        <w:pStyle w:val="Heading2"/>
      </w:pPr>
      <w:r>
        <w:t>8.1 Journal Selection Tools</w:t>
      </w:r>
    </w:p>
    <w:p>
      <w:pPr>
        <w:pStyle w:val="Heading3"/>
      </w:pPr>
      <w:r>
        <w:t>Journal Finder Tools</w:t>
      </w:r>
    </w:p>
    <w:p>
      <w:pPr>
        <w:numPr>
          <w:ilvl w:val="0"/>
          <w:numId w:val="2"/>
        </w:numPr>
        <w:spacing w:after="120"/>
      </w:pPr>
      <w:r>
        <w:rPr>
          <w:b/>
        </w:rPr>
        <w:t>JournalGuide</w:t>
      </w:r>
      <w:r>
        <w:t>: journalguide.com - Free tool for finding journals across all quartiles</w:t>
      </w:r>
    </w:p>
    <w:p>
      <w:pPr>
        <w:numPr>
          <w:ilvl w:val="0"/>
          <w:numId w:val="2"/>
        </w:numPr>
        <w:spacing w:after="120"/>
      </w:pPr>
      <w:r>
        <w:rPr>
          <w:b/>
        </w:rPr>
        <w:t>Jane (Journal/Author Name Estimator)</w:t>
      </w:r>
      <w:r>
        <w:t>: biosemantics.org/jane - Suggests appropriate journals</w:t>
      </w:r>
    </w:p>
    <w:p>
      <w:pPr>
        <w:numPr>
          <w:ilvl w:val="0"/>
          <w:numId w:val="2"/>
        </w:numPr>
        <w:spacing w:after="120"/>
      </w:pPr>
      <w:r>
        <w:rPr>
          <w:b/>
        </w:rPr>
        <w:t>Elsevier Journal Finder</w:t>
      </w:r>
      <w:r>
        <w:t>: journalfinder.elsevier.com - Matches abstracts to Elsevier journals</w:t>
      </w:r>
    </w:p>
    <w:p>
      <w:pPr>
        <w:numPr>
          <w:ilvl w:val="0"/>
          <w:numId w:val="2"/>
        </w:numPr>
        <w:spacing w:after="120"/>
      </w:pPr>
      <w:r>
        <w:rPr>
          <w:b/>
        </w:rPr>
        <w:t>Springer Journal Suggester</w:t>
      </w:r>
      <w:r>
        <w:t>: journalsuggester.springer.com - Recommends Springer journals</w:t>
      </w:r>
    </w:p>
    <w:p>
      <w:pPr>
        <w:numPr>
          <w:ilvl w:val="0"/>
          <w:numId w:val="2"/>
        </w:numPr>
        <w:spacing w:after="120"/>
      </w:pPr>
      <w:r>
        <w:rPr>
          <w:b/>
        </w:rPr>
        <w:t>Wiley Journal Finder</w:t>
      </w:r>
      <w:r>
        <w:t>: wiley.com - Identifies appropriate Wiley journals</w:t>
      </w:r>
    </w:p>
    <w:p>
      <w:pPr>
        <w:pStyle w:val="Heading3"/>
      </w:pPr>
      <w:r>
        <w:t>Journal Metrics Databases</w:t>
      </w:r>
    </w:p>
    <w:p>
      <w:pPr>
        <w:numPr>
          <w:ilvl w:val="0"/>
          <w:numId w:val="2"/>
        </w:numPr>
        <w:spacing w:after="120"/>
      </w:pPr>
      <w:r>
        <w:rPr>
          <w:b/>
        </w:rPr>
        <w:t>SCImago Journal Rank</w:t>
      </w:r>
      <w:r>
        <w:t>: scimagojr.com - Free SJR scores and quartile information</w:t>
      </w:r>
    </w:p>
    <w:p>
      <w:pPr>
        <w:numPr>
          <w:ilvl w:val="0"/>
          <w:numId w:val="2"/>
        </w:numPr>
        <w:spacing w:after="120"/>
      </w:pPr>
      <w:r>
        <w:rPr>
          <w:b/>
        </w:rPr>
        <w:t>Journal Citation Reports</w:t>
      </w:r>
      <w:r>
        <w:t>: Access through Web of Science - Official Impact Factor source</w:t>
      </w:r>
    </w:p>
    <w:p>
      <w:pPr>
        <w:numPr>
          <w:ilvl w:val="0"/>
          <w:numId w:val="2"/>
        </w:numPr>
        <w:spacing w:after="120"/>
      </w:pPr>
      <w:r>
        <w:rPr>
          <w:b/>
        </w:rPr>
        <w:t>Scopus Sources</w:t>
      </w:r>
      <w:r>
        <w:t>: Access through Scopus - CiteScore and SNIP metrics</w:t>
      </w:r>
    </w:p>
    <w:p>
      <w:pPr>
        <w:numPr>
          <w:ilvl w:val="0"/>
          <w:numId w:val="2"/>
        </w:numPr>
        <w:spacing w:after="120"/>
      </w:pPr>
      <w:r>
        <w:rPr>
          <w:b/>
        </w:rPr>
        <w:t>Google Scholar Metrics</w:t>
      </w:r>
      <w:r>
        <w:t>: scholar.google.com - h-index rankings by field</w:t>
      </w:r>
    </w:p>
    <w:p>
      <w:pPr>
        <w:pStyle w:val="Heading2"/>
      </w:pPr>
      <w:r>
        <w:t>8.2 Writing and Editing Resources</w:t>
      </w:r>
    </w:p>
    <w:p>
      <w:pPr>
        <w:pStyle w:val="Heading3"/>
      </w:pPr>
      <w:r>
        <w:t>Grammar and Style Checkers</w:t>
      </w:r>
    </w:p>
    <w:p>
      <w:pPr>
        <w:numPr>
          <w:ilvl w:val="0"/>
          <w:numId w:val="2"/>
        </w:numPr>
        <w:spacing w:after="120"/>
      </w:pPr>
      <w:r>
        <w:rPr>
          <w:b/>
        </w:rPr>
        <w:t>Grammarly</w:t>
      </w:r>
      <w:r>
        <w:t>: grammarly.com - AI-powered writing assistance</w:t>
      </w:r>
    </w:p>
    <w:p>
      <w:pPr>
        <w:numPr>
          <w:ilvl w:val="0"/>
          <w:numId w:val="2"/>
        </w:numPr>
        <w:spacing w:after="120"/>
      </w:pPr>
      <w:r>
        <w:rPr>
          <w:b/>
        </w:rPr>
        <w:t>Hemingway Editor</w:t>
      </w:r>
      <w:r>
        <w:t>: hemingwayapp.com - Improves readability</w:t>
      </w:r>
    </w:p>
    <w:p>
      <w:pPr>
        <w:numPr>
          <w:ilvl w:val="0"/>
          <w:numId w:val="2"/>
        </w:numPr>
        <w:spacing w:after="120"/>
      </w:pPr>
      <w:r>
        <w:rPr>
          <w:b/>
        </w:rPr>
        <w:t>Writefull</w:t>
      </w:r>
      <w:r>
        <w:t>: writefull.com - Academic writing feedback</w:t>
      </w:r>
    </w:p>
    <w:p>
      <w:pPr>
        <w:pStyle w:val="Heading3"/>
      </w:pPr>
      <w:r>
        <w:t>Reference Management</w:t>
      </w:r>
    </w:p>
    <w:p>
      <w:pPr>
        <w:numPr>
          <w:ilvl w:val="0"/>
          <w:numId w:val="2"/>
        </w:numPr>
        <w:spacing w:after="120"/>
      </w:pPr>
      <w:r>
        <w:rPr>
          <w:b/>
        </w:rPr>
        <w:t>Zotero</w:t>
      </w:r>
      <w:r>
        <w:t>: zotero.org - Free, open-source reference manager</w:t>
      </w:r>
    </w:p>
    <w:p>
      <w:pPr>
        <w:numPr>
          <w:ilvl w:val="0"/>
          <w:numId w:val="2"/>
        </w:numPr>
        <w:spacing w:after="120"/>
      </w:pPr>
      <w:r>
        <w:rPr>
          <w:b/>
        </w:rPr>
        <w:t>Mendeley</w:t>
      </w:r>
      <w:r>
        <w:t>: mendeley.com - Reference manager with collaboration features</w:t>
      </w:r>
    </w:p>
    <w:p>
      <w:pPr>
        <w:numPr>
          <w:ilvl w:val="0"/>
          <w:numId w:val="2"/>
        </w:numPr>
        <w:spacing w:after="120"/>
      </w:pPr>
      <w:r>
        <w:rPr>
          <w:b/>
        </w:rPr>
        <w:t>EndNote</w:t>
      </w:r>
      <w:r>
        <w:t>: endnote.com - Professional reference management</w:t>
      </w:r>
    </w:p>
    <w:p>
      <w:pPr>
        <w:pStyle w:val="Heading2"/>
      </w:pPr>
      <w:r>
        <w:t>8.3 Predatory Journal Detection</w:t>
      </w:r>
    </w:p>
    <w:p>
      <w:r>
        <w:t>When targeting Q2 and Q3 journals, be vigilant about predatory publishers:</w:t>
      </w:r>
    </w:p>
    <w:p>
      <w:pPr>
        <w:numPr>
          <w:ilvl w:val="0"/>
          <w:numId w:val="2"/>
        </w:numPr>
        <w:spacing w:after="120"/>
      </w:pPr>
      <w:r>
        <w:rPr>
          <w:b/>
        </w:rPr>
        <w:t>Think.Check.Submit</w:t>
      </w:r>
      <w:r>
        <w:t>: thinkchecksubmit.org - Guidelines for assessing journal credibility</w:t>
      </w:r>
    </w:p>
    <w:p>
      <w:pPr>
        <w:numPr>
          <w:ilvl w:val="0"/>
          <w:numId w:val="2"/>
        </w:numPr>
        <w:spacing w:after="120"/>
      </w:pPr>
      <w:r>
        <w:rPr>
          <w:b/>
        </w:rPr>
        <w:t>DOAJ</w:t>
      </w:r>
      <w:r>
        <w:t>: doaj.org - Directory of legitimate open access journals</w:t>
      </w:r>
    </w:p>
    <w:p>
      <w:pPr>
        <w:numPr>
          <w:ilvl w:val="0"/>
          <w:numId w:val="2"/>
        </w:numPr>
        <w:spacing w:after="120"/>
      </w:pPr>
      <w:r>
        <w:rPr>
          <w:b/>
        </w:rPr>
        <w:t>Beall's List</w:t>
      </w:r>
      <w:r>
        <w:t>: Updated community versions available - Lists predatory publishers</w:t>
      </w:r>
    </w:p>
    <w:p>
      <w:pPr>
        <w:numPr>
          <w:ilvl w:val="0"/>
          <w:numId w:val="2"/>
        </w:numPr>
        <w:spacing w:after="120"/>
      </w:pPr>
      <w:r>
        <w:rPr>
          <w:b/>
        </w:rPr>
        <w:t>Cabells Scholarly Analytics</w:t>
      </w:r>
      <w:r>
        <w:t>: cabells.com - Journal verification service</w:t>
      </w:r>
    </w:p>
    <w:p>
      <w:pPr>
        <w:pStyle w:val="Heading2"/>
      </w:pPr>
      <w:r>
        <w:t>8.4 Key Takeaways</w:t>
      </w:r>
    </w:p>
    <w:p>
      <w:r>
        <w:t>Publishing in Q2 and Q3 journals is a strategic choice that can advance your research career:</w:t>
      </w:r>
    </w:p>
    <w:p>
      <w:pPr>
        <w:numPr>
          <w:ilvl w:val="0"/>
          <w:numId w:val="1"/>
        </w:numPr>
        <w:spacing w:after="120"/>
      </w:pPr>
      <w:r>
        <w:rPr>
          <w:b/>
        </w:rPr>
        <w:t>Q2 Journals</w:t>
      </w:r>
      <w:r>
        <w:t>: Offer strong reputation, reasonable acceptance rates (15-25%), and 6-12 week review timelines. Ideal for quality research that advances your field.</w:t>
      </w:r>
    </w:p>
    <w:p>
      <w:pPr>
        <w:numPr>
          <w:ilvl w:val="0"/>
          <w:numId w:val="1"/>
        </w:numPr>
        <w:spacing w:after="120"/>
      </w:pPr>
      <w:r>
        <w:rPr>
          <w:b/>
        </w:rPr>
        <w:t>Q3 Journals</w:t>
      </w:r>
      <w:r>
        <w:t>: Provide faster publication (4-8 weeks), higher acceptance rates (25-40%), and access to niche audiences. Perfect for building portfolios and meeting deadlines.</w:t>
      </w:r>
    </w:p>
    <w:p>
      <w:pPr>
        <w:numPr>
          <w:ilvl w:val="0"/>
          <w:numId w:val="1"/>
        </w:numPr>
        <w:spacing w:after="120"/>
      </w:pPr>
      <w:r>
        <w:rPr>
          <w:b/>
        </w:rPr>
        <w:t>Strategic Use</w:t>
      </w:r>
      <w:r>
        <w:t>: Use Q2/Q3 journals strategically alongside Q1 aspirations. Both contribute meaningfully to your academic profile.</w:t>
      </w:r>
    </w:p>
    <w:p>
      <w:pPr>
        <w:numPr>
          <w:ilvl w:val="0"/>
          <w:numId w:val="1"/>
        </w:numPr>
        <w:spacing w:after="120"/>
      </w:pPr>
      <w:r>
        <w:rPr>
          <w:b/>
        </w:rPr>
        <w:t>Quality Matters</w:t>
      </w:r>
      <w:r>
        <w:t>: Regardless of quartile, maintain high standards in your research, writing, and ethical practices.</w:t>
      </w:r>
    </w:p>
    <w:p>
      <w:r>
        <w:t>With thoughtful planning and strategic journal selection, Q2 and Q3 journals can play a valuable role in building a successful research career. Remember: the best journal for your work is one that matches your research scope, meets your career needs, and reaches your intended audience.</w:t>
      </w:r>
    </w:p>
    <w:p>
      <w:r>
        <w:br w:type="page"/>
      </w:r>
    </w:p>
    <w:p>
      <w:pPr>
        <w:spacing w:before="4000"/>
      </w:pPr>
      <w:r/>
    </w:p>
    <w:p>
      <w:pPr>
        <w:spacing w:after="400"/>
        <w:jc w:val="center"/>
      </w:pPr>
      <w:r>
        <w:rPr>
          <w:b/>
          <w:color w:val="00695C"/>
          <w:sz w:val="36"/>
        </w:rPr>
        <w:t>Q2 &amp; Q3 JOURNALS</w:t>
      </w:r>
    </w:p>
    <w:p>
      <w:pPr>
        <w:spacing w:after="600"/>
        <w:jc w:val="center"/>
      </w:pPr>
      <w:r>
        <w:rPr>
          <w:color w:val="F57C00"/>
          <w:sz w:val="24"/>
        </w:rPr>
        <w:t>Strategic Publication Guide</w:t>
      </w:r>
    </w:p>
    <w:p>
      <w:pPr>
        <w:spacing w:after="200"/>
        <w:jc w:val="center"/>
      </w:pPr>
      <w:r>
        <w:rPr>
          <w:color w:val="424242"/>
        </w:rPr>
        <w:t>Your comprehensive resource for understanding mid-tier journals,</w:t>
      </w:r>
    </w:p>
    <w:p>
      <w:pPr>
        <w:spacing w:after="200"/>
        <w:jc w:val="center"/>
      </w:pPr>
      <w:r>
        <w:rPr>
          <w:color w:val="424242"/>
        </w:rPr>
        <w:t>building publication portfolios, and advancing your research career.</w:t>
      </w:r>
    </w:p>
    <w:p>
      <w:pPr>
        <w:spacing w:before="2000"/>
      </w:pPr>
      <w:r/>
    </w:p>
    <w:p>
      <w:pPr>
        <w:spacing w:after="100"/>
        <w:jc w:val="center"/>
      </w:pPr>
      <w:r>
        <w:rPr>
          <w:color w:val="757575"/>
          <w:sz w:val="18"/>
        </w:rPr>
        <w:t>For the latest updates and additional resources:</w:t>
      </w:r>
    </w:p>
    <w:p>
      <w:pPr>
        <w:jc w:val="center"/>
      </w:pPr>
      <w:r>
        <w:rPr>
          <w:color w:val="1565C0"/>
          <w:sz w:val="18"/>
        </w:rPr>
        <w:t>Consult your institution's library services and academic support offices</w:t>
      </w:r>
    </w:p>
    <w:p>
      <w:pPr>
        <w:spacing w:before="1500"/>
      </w:pPr>
      <w:r/>
    </w:p>
    <w:p>
      <w:pPr>
        <w:jc w:val="center"/>
      </w:pPr>
      <w:r>
        <w:rPr>
          <w:color w:val="757575"/>
          <w:sz w:val="16"/>
        </w:rPr>
        <w:t>© 2025 - All Rights Reserved</w:t>
      </w:r>
    </w:p>
    <w:sectPr>
      <w:headerReference w:type="default" r:id="Rf52561619a4c4d44"/>
      <w:footerReference w:type="default" r:id="R53232633f56c4dd0"/>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57575"/>
        <w:sz w:val="18"/>
      </w:rPr>
      <w:t xml:space="preserve">Page </w:t>
    </w:r>
    <w:r>
      <w:rPr>
        <w:color w:val="757575"/>
        <w:sz w:val="18"/>
      </w:rPr>
      <w:fldChar w:fldCharType="begin"/>
      <w:instrText xml:space="preserve"> PAGE </w:instrText>
      <w:fldChar w:fldCharType="separate"/>
      <w:t>1</w:t>
      <w:fldChar w:fldCharType="end"/>
    </w:r>
    <w:r>
      <w:rPr>
        <w:color w:val="757575"/>
        <w:sz w:val="18"/>
      </w:rPr>
      <w:t xml:space="preserve"> of </w:t>
    </w:r>
    <w:r>
      <w:rPr>
        <w:color w:val="757575"/>
        <w:sz w:val="18"/>
      </w:rPr>
      <w:fldChar w:fldCharType="begin"/>
      <w:instrText xml:space="preserve"> NUMPAGES </w:instrText>
      <w:fldChar w:fldCharType="separate"/>
      <w:t>1</w:t>
      <w:fldChar w:fldCharType="end"/>
    </w:r>
  </w:p>
</w:ftr>
</file>

<file path=word/header1.xml><?xml version="1.0" encoding="utf-8"?>
<w:hdr xmlns:w="http://schemas.openxmlformats.org/wordprocessingml/2006/main">
  <w:p>
    <w:pPr>
      <w:pBdr>
        <w:bottom w:val="single" w:color="00695C" w:sz="6"/>
      </w:pBdr>
      <w:jc w:val="right"/>
    </w:pPr>
    <w:r>
      <w:rPr>
        <w:color w:val="757575"/>
        <w:sz w:val="18"/>
      </w:rPr>
      <w:t>Q2 &amp; Q3 Journals: Strategic Publication Guide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jc w:val="both"/>
    </w:pPr>
    <w:rPr>
      <w:rFonts w:ascii="Calibri" w:hAnsi="Calibri" w:eastAsia="Microsoft YaHei"/>
      <w:color w:val="212121"/>
      <w:sz w:val="22"/>
    </w:rPr>
  </w:style>
  <w:style w:type="paragraph" w:styleId="Heading1">
    <w:name w:val="heading 1"/>
    <w:basedOn w:val="Normal"/>
    <w:pPr>
      <w:keepNext/>
      <w:keepLines/>
      <w:pageBreakBefore/>
      <w:spacing w:before="400" w:after="240" w:line="240" w:lineRule="auto"/>
      <w:outlineLvl w:val="0"/>
    </w:pPr>
    <w:rPr>
      <w:b/>
      <w:color w:val="00695C"/>
      <w:sz w:val="40"/>
    </w:rPr>
  </w:style>
  <w:style w:type="paragraph" w:styleId="Heading2">
    <w:name w:val="heading 2"/>
    <w:basedOn w:val="Normal"/>
    <w:pPr>
      <w:keepNext/>
      <w:keepLines/>
      <w:spacing w:before="360" w:after="160"/>
      <w:outlineLvl w:val="1"/>
    </w:pPr>
    <w:rPr>
      <w:b/>
      <w:color w:val="00695C"/>
      <w:sz w:val="28"/>
    </w:rPr>
  </w:style>
  <w:style w:type="paragraph" w:styleId="Heading3">
    <w:name w:val="heading 3"/>
    <w:basedOn w:val="Normal"/>
    <w:pPr>
      <w:keepNext/>
      <w:keepLines/>
      <w:spacing w:before="280" w:after="120"/>
      <w:outlineLvl w:val="2"/>
    </w:pPr>
    <w:rPr>
      <w:b/>
      <w:color w:val="E65100"/>
      <w:sz w:val="24"/>
    </w:rPr>
  </w:style>
  <w:style w:type="paragraph" w:styleId="TOC1">
    <w:name w:val="toc 1"/>
    <w:basedOn w:val="Normal"/>
    <w:pPr>
      <w:tabs>
        <w:tab w:val="right" w:leader="dot" w:pos="9350"/>
      </w:tabs>
      <w:spacing w:before="200" w:after="60"/>
    </w:pPr>
    <w:rPr>
      <w:b/>
      <w:color w:val="212121"/>
    </w:rPr>
  </w:style>
  <w:style w:type="paragraph" w:styleId="TOC2">
    <w:name w:val="toc 2"/>
    <w:basedOn w:val="Normal"/>
    <w:pPr>
      <w:tabs>
        <w:tab w:val="right" w:leader="dot" w:pos="9350"/>
      </w:tabs>
      <w:spacing w:before="60" w:after="60"/>
      <w:ind w:left="360"/>
    </w:pPr>
    <w:rPr>
      <w:color w:val="424242"/>
    </w:rPr>
  </w:style>
  <w:style w:type="paragraph" w:styleId="Caption">
    <w:name w:val="Caption"/>
    <w:basedOn w:val="Normal"/>
    <w:pPr>
      <w:spacing w:before="60" w:after="300"/>
      <w:jc w:val="center"/>
    </w:pPr>
    <w:rPr>
      <w:i/>
      <w:color w:val="424242"/>
      <w:sz w:val="20"/>
    </w:rPr>
  </w:style>
</w:styles>
</file>

<file path=word/_rels/document.xml.rels>&#65279;<?xml version="1.0" encoding="utf-8"?><Relationships xmlns="http://schemas.openxmlformats.org/package/2006/relationships"><Relationship Type="http://schemas.openxmlformats.org/officeDocument/2006/relationships/styles" Target="/word/styles.xml" Id="R4ac7677ed96646b2" /><Relationship Type="http://schemas.openxmlformats.org/officeDocument/2006/relationships/numbering" Target="/word/numbering.xml" Id="R9c868e6ffc014ad1" /><Relationship Type="http://schemas.openxmlformats.org/officeDocument/2006/relationships/header" Target="/word/header1.xml" Id="Rf52561619a4c4d44" /><Relationship Type="http://schemas.openxmlformats.org/officeDocument/2006/relationships/footer" Target="/word/footer1.xml" Id="R53232633f56c4dd0" /><Relationship Type="http://schemas.openxmlformats.org/officeDocument/2006/relationships/image" Target="/media/image.png" Id="R633d2ae6d94d4367" /><Relationship Type="http://schemas.openxmlformats.org/officeDocument/2006/relationships/image" Target="/media/image2.png" Id="R6f1de68636de47bc" /><Relationship Type="http://schemas.openxmlformats.org/officeDocument/2006/relationships/settings" Target="/word/settings.xml" Id="Rd0dfac3afa994813" /></Relationships>
</file>