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before="0" w:after="15" w:line="230" w:lineRule="auto"/>
      </w:pPr>
      <w:r>
        <w:rPr>
          <w:rFonts w:ascii="Calibri" w:hAnsi="Calibri" w:cs="Calibri"/>
          <w:b/>
          <w:bCs/>
          <w:sz w:val="36"/>
          <w:szCs w:val="36"/>
          <w:color w:val="000000"/>
        </w:rPr>
        <w:t xml:space="preserve">RISHI THAKUR</w:t>
      </w:r>
    </w:p>
    <w:p>
      <w:pPr>
        <w:jc w:val="center"/>
        <w:spacing w:before="0" w:after="15" w:line="230" w:lineRule="auto"/>
      </w:pPr>
      <w:r>
        <w:rPr>
          <w:rFonts w:ascii="Calibri" w:hAnsi="Calibri" w:cs="Calibri"/>
          <w:b/>
          <w:bCs/>
          <w:sz w:val="20"/>
          <w:szCs w:val="20"/>
          <w:color w:val="222222"/>
        </w:rPr>
        <w:t xml:space="preserve">Business Analyst | SQL Developer &amp; Analytics Engineering</w:t>
      </w:r>
    </w:p>
    <w:p>
      <w:pPr>
        <w:jc w:val="center"/>
        <w:spacing w:before="0" w:after="40" w:line="230" w:lineRule="auto"/>
      </w:pPr>
      <w:r>
        <w:rPr>
          <w:rFonts w:ascii="Calibri" w:hAnsi="Calibri" w:cs="Calibri"/>
          <w:sz w:val="16"/>
          <w:szCs w:val="16"/>
          <w:color w:val="000000"/>
        </w:rPr>
        <w:t xml:space="preserve">Bengaluru, India  •  +91 8109830219  •  </w:t>
      </w:r>
      <w:r>
        <w:rPr>
          <w:rFonts w:ascii="Calibri" w:hAnsi="Calibri" w:cs="Calibri"/>
          <w:sz w:val="16"/>
          <w:szCs w:val="16"/>
          <w:color w:val="000000"/>
        </w:rPr>
        <w:t xml:space="preserve">rishi_th219@proton.me</w:t>
      </w:r>
      <w:r>
        <w:rPr>
          <w:rFonts w:ascii="Calibri" w:hAnsi="Calibri" w:cs="Calibri"/>
          <w:sz w:val="16"/>
          <w:szCs w:val="16"/>
          <w:color w:val="000000"/>
        </w:rPr>
        <w:t xml:space="preserve">  •  </w:t>
      </w:r>
      <w:r>
        <w:rPr>
          <w:rFonts w:ascii="Calibri" w:hAnsi="Calibri" w:cs="Calibri"/>
          <w:sz w:val="16"/>
          <w:szCs w:val="16"/>
          <w:color w:val="000000"/>
        </w:rPr>
        <w:t xml:space="preserve">linkedin.com/in/rishi-thakur-b665a4298</w:t>
      </w:r>
      <w:r>
        <w:rPr>
          <w:rFonts w:ascii="Calibri" w:hAnsi="Calibri" w:cs="Calibri"/>
          <w:sz w:val="16"/>
          <w:szCs w:val="16"/>
          <w:color w:val="000000"/>
        </w:rPr>
        <w:t xml:space="preserve">  •  </w:t>
      </w:r>
      <w:r>
        <w:rPr>
          <w:rFonts w:ascii="Calibri" w:hAnsi="Calibri" w:cs="Calibri"/>
          <w:sz w:val="16"/>
          <w:szCs w:val="16"/>
          <w:color w:val="000000"/>
        </w:rPr>
        <w:t xml:space="preserve">github.com/rishi-th219</w:t>
      </w:r>
    </w:p>
    <w:p>
      <w:pPr>
        <w:spacing w:before="70" w:after="25" w:line="230" w:lineRule="auto"/>
        <w:pBdr>
          <w:bottom w:val="single" w:sz="6" w:space="1" w:color="000000"/>
        </w:pBdr>
        <w:rPr>
          <w:smallCaps/>
        </w:rPr>
      </w:pPr>
      <w:r>
        <w:rPr>
          <w:rFonts w:ascii="Calibri" w:hAnsi="Calibri" w:cs="Calibri"/>
          <w:b/>
          <w:bCs/>
          <w:sz w:val="21"/>
          <w:szCs w:val="21"/>
          <w:color w:val="000000"/>
        </w:rPr>
        <w:t xml:space="preserve">PROFESSIONAL SUMMARY</w:t>
      </w:r>
    </w:p>
    <w:p>
      <w:pPr>
        <w:spacing w:before="10" w:after="35" w:line="220" w:lineRule="auto"/>
      </w:pPr>
      <w:r>
        <w:rPr>
          <w:rFonts w:ascii="Calibri" w:hAnsi="Calibri" w:cs="Calibri"/>
          <w:sz w:val="18"/>
          <w:szCs w:val="18"/>
          <w:color w:val="000000"/>
        </w:rPr>
        <w:t xml:space="preserve">Business Analyst and SQL Developer with expertise in business problem decomposition, advanced relational database querying, Advanced Excel scenario modeling, and executive leadership alignment. Proven track record partnering directly with the Department Secretary to deconstruct complex statewide operational bottlenecks into 3 structured, data-driven initiatives across 33 districts. Experienced in authoring advanced SQL workflows (CTEs, window functions, schema reconciliation), building dynamic financial/operational models in Excel, and deploying interactive Power BI dashboards that drive data-backed policy decisions.</w:t>
      </w:r>
    </w:p>
    <w:p>
      <w:pPr>
        <w:spacing w:before="70" w:after="25" w:line="230" w:lineRule="auto"/>
        <w:pBdr>
          <w:bottom w:val="single" w:sz="6" w:space="1" w:color="000000"/>
        </w:pBdr>
        <w:rPr>
          <w:smallCaps/>
        </w:rPr>
      </w:pPr>
      <w:r>
        <w:rPr>
          <w:rFonts w:ascii="Calibri" w:hAnsi="Calibri" w:cs="Calibri"/>
          <w:b/>
          <w:bCs/>
          <w:sz w:val="21"/>
          <w:szCs w:val="21"/>
          <w:color w:val="000000"/>
        </w:rPr>
        <w:t xml:space="preserve">TECHNICAL SKILLS</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b/>
          <w:bCs/>
          <w:sz w:val="17.5"/>
          <w:szCs w:val="17.5"/>
          <w:color w:val="000000"/>
        </w:rPr>
        <w:t xml:space="preserve">Business &amp; Strategy Analytics: </w:t>
      </w:r>
      <w:r>
        <w:rPr>
          <w:rFonts w:ascii="Calibri" w:hAnsi="Calibri" w:cs="Calibri"/>
          <w:sz w:val="17.5"/>
          <w:szCs w:val="17.5"/>
          <w:color w:val="000000"/>
        </w:rPr>
        <w:t xml:space="preserve">Business Problem Decomposition, Risk &amp; Defaulter Segmentation, Root Cause Analysis, Hypothesis Testing, Metric &amp; KPI Definition, Operational Strategy, Impact Measurement, Executive Decision Support</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b/>
          <w:bCs/>
          <w:sz w:val="17.5"/>
          <w:szCs w:val="17.5"/>
          <w:color w:val="000000"/>
        </w:rPr>
        <w:t xml:space="preserve">Advanced Excel &amp; Financial Modeling: </w:t>
      </w:r>
      <w:r>
        <w:rPr>
          <w:rFonts w:ascii="Calibri" w:hAnsi="Calibri" w:cs="Calibri"/>
          <w:sz w:val="17.5"/>
          <w:szCs w:val="17.5"/>
          <w:color w:val="000000"/>
        </w:rPr>
        <w:t xml:space="preserve">Advanced Excel (XLOOKUP, INDEX/MATCH, Dynamic Arrays, Complex Nested Formulas, Pivot Tables, Power Pivot, Power Query ETL, What-If Scenario Analysis, Sensitivity Matrices, Financial Modeling, VBA &amp; Macros), Executive Dashboards</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b/>
          <w:bCs/>
          <w:sz w:val="17.5"/>
          <w:szCs w:val="17.5"/>
          <w:color w:val="000000"/>
        </w:rPr>
        <w:t xml:space="preserve">Databases &amp; Querying: </w:t>
      </w:r>
      <w:r>
        <w:rPr>
          <w:rFonts w:ascii="Calibri" w:hAnsi="Calibri" w:cs="Calibri"/>
          <w:sz w:val="17.5"/>
          <w:szCs w:val="17.5"/>
          <w:color w:val="000000"/>
        </w:rPr>
        <w:t xml:space="preserve">Advanced SQL (Complex Multi-Table Joins, CTEs, Window Functions, Subqueries, Aggregations), MySQL, MariaDB, OracleDB, T-SQL, Query Optimization, Relational Database Design</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b/>
          <w:bCs/>
          <w:sz w:val="17.5"/>
          <w:szCs w:val="17.5"/>
          <w:color w:val="000000"/>
        </w:rPr>
        <w:t xml:space="preserve">Data Modeling &amp; BI: </w:t>
      </w:r>
      <w:r>
        <w:rPr>
          <w:rFonts w:ascii="Calibri" w:hAnsi="Calibri" w:cs="Calibri"/>
          <w:sz w:val="17.5"/>
          <w:szCs w:val="17.5"/>
          <w:color w:val="000000"/>
        </w:rPr>
        <w:t xml:space="preserve">Schema Reconciliation across Heterogeneous Sources, Identity Resolution, Multi-Source ETL Pipelines, Dimensional Modeling (Star Schema), Microsoft Power BI (DAX, Drill-downs), Oracle Analytics Cloud (OAC), UAT Protocols</w:t>
      </w:r>
    </w:p>
    <w:p>
      <w:pPr>
        <w:spacing w:before="70" w:after="25" w:line="230" w:lineRule="auto"/>
        <w:pBdr>
          <w:bottom w:val="single" w:sz="6" w:space="1" w:color="000000"/>
        </w:pBdr>
        <w:rPr>
          <w:smallCaps/>
        </w:rPr>
      </w:pPr>
      <w:r>
        <w:rPr>
          <w:rFonts w:ascii="Calibri" w:hAnsi="Calibri" w:cs="Calibri"/>
          <w:b/>
          <w:bCs/>
          <w:sz w:val="21"/>
          <w:szCs w:val="21"/>
          <w:color w:val="000000"/>
        </w:rPr>
        <w:t xml:space="preserve">PROFESSIONAL EXPERIENCE</w:t>
      </w:r>
    </w:p>
    <w:p>
      <w:pPr>
        <w:spacing w:before="30" w:after="5" w:line="230" w:lineRule="auto"/>
        <w:tabs>
          <w:tab w:val="right" w:pos="10800"/>
        </w:tabs>
      </w:pPr>
      <w:r>
        <w:rPr>
          <w:rFonts w:ascii="Calibri" w:hAnsi="Calibri" w:cs="Calibri"/>
          <w:b/>
          <w:bCs/>
          <w:sz w:val="19"/>
          <w:szCs w:val="19"/>
          <w:color w:val="000000"/>
        </w:rPr>
        <w:t xml:space="preserve">Business Analyst &amp; SQL Developer Intern | Chhattisgarh Infotech Promotion Society (CHiPS)</w:t>
      </w:r>
      <w:r>
        <w:tab/>
      </w:r>
      <w:r>
        <w:rPr>
          <w:rFonts w:ascii="Calibri" w:hAnsi="Calibri" w:cs="Calibri"/>
          <w:b/>
          <w:bCs/>
          <w:sz w:val="18"/>
          <w:szCs w:val="18"/>
          <w:color w:val="000000"/>
        </w:rPr>
        <w:t xml:space="preserve">06/2025 – 03/2026</w:t>
      </w:r>
    </w:p>
    <w:p>
      <w:pPr>
        <w:spacing w:before="0" w:after="12" w:line="230" w:lineRule="auto"/>
        <w:tabs>
          <w:tab w:val="right" w:pos="10800"/>
        </w:tabs>
      </w:pPr>
      <w:r>
        <w:rPr>
          <w:rFonts w:ascii="Calibri" w:hAnsi="Calibri" w:cs="Calibri"/>
          <w:i/>
          <w:iCs/>
          <w:sz w:val="18"/>
          <w:szCs w:val="18"/>
          <w:color w:val="000000"/>
        </w:rPr>
        <w:t xml:space="preserve">Dept. of Health &amp; Family Welfare, Govt. of Chhattisgarh</w:t>
      </w:r>
      <w:r>
        <w:tab/>
      </w:r>
      <w:r>
        <w:rPr>
          <w:rFonts w:ascii="Calibri" w:hAnsi="Calibri" w:cs="Calibri"/>
          <w:i/>
          <w:iCs/>
          <w:sz w:val="18"/>
          <w:szCs w:val="18"/>
          <w:color w:val="000000"/>
        </w:rPr>
        <w:t xml:space="preserve">Raipur, India</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b/>
          <w:bCs/>
          <w:sz w:val="17.5"/>
          <w:szCs w:val="17.5"/>
          <w:color w:val="000000"/>
        </w:rPr>
        <w:t xml:space="preserve">Problem Decomposition &amp; Leadership Alignment: </w:t>
      </w:r>
      <w:r>
        <w:rPr>
          <w:rFonts w:ascii="Calibri" w:hAnsi="Calibri" w:cs="Calibri"/>
          <w:sz w:val="17.5"/>
          <w:szCs w:val="17.5"/>
          <w:color w:val="000000"/>
        </w:rPr>
        <w:t xml:space="preserve">Partnered directly with the Department Secretary to deconstruct complex statewide attendance and doctor service bond compliance issues across 33 districts into 3 progressive, data-driven initiatives with defined metrics.</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b/>
          <w:bCs/>
          <w:sz w:val="17.5"/>
          <w:szCs w:val="17.5"/>
          <w:color w:val="000000"/>
        </w:rPr>
        <w:t xml:space="preserve">Risk &amp; Defaulter Segmentation: </w:t>
      </w:r>
      <w:r>
        <w:rPr>
          <w:rFonts w:ascii="Calibri" w:hAnsi="Calibri" w:cs="Calibri"/>
          <w:sz w:val="17.5"/>
          <w:szCs w:val="17.5"/>
          <w:color w:val="000000"/>
        </w:rPr>
        <w:t xml:space="preserve">Uncovered systemic compliance gaps by conceptualizing a 3-tier defaulter risk model for bonded personnel (Non-Joiners, Formal-Only Registrants, and Attendance Defaulters), mapping State Treasury payroll data to track financial leakage.</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b/>
          <w:bCs/>
          <w:sz w:val="17.5"/>
          <w:szCs w:val="17.5"/>
          <w:color w:val="000000"/>
        </w:rPr>
        <w:t xml:space="preserve">Operational Financial Modeling &amp; Excel Analytics: </w:t>
      </w:r>
      <w:r>
        <w:rPr>
          <w:rFonts w:ascii="Calibri" w:hAnsi="Calibri" w:cs="Calibri"/>
          <w:sz w:val="17.5"/>
          <w:szCs w:val="17.5"/>
          <w:color w:val="000000"/>
        </w:rPr>
        <w:t xml:space="preserve">Built executive scenario modeling workbooks in Advanced Excel combining Power Query ETL and dynamic sensitivity matrices to evaluate payroll discrepancies and bonded doctor compliance rates across 33 districts.</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b/>
          <w:bCs/>
          <w:sz w:val="17.5"/>
          <w:szCs w:val="17.5"/>
          <w:color w:val="000000"/>
        </w:rPr>
        <w:t xml:space="preserve">Advanced SQL Querying &amp; Identity Resolution: </w:t>
      </w:r>
      <w:r>
        <w:rPr>
          <w:rFonts w:ascii="Calibri" w:hAnsi="Calibri" w:cs="Calibri"/>
          <w:sz w:val="17.5"/>
          <w:szCs w:val="17.5"/>
          <w:color w:val="000000"/>
        </w:rPr>
        <w:t xml:space="preserve">Authored complex SQL pipelines (multi-way joins, CTEs, window functions) bridging AEBAS biometric attendance IDs with State Treasury payroll records, resolving name and designation discrepancies for bonded doctors.</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b/>
          <w:bCs/>
          <w:sz w:val="17.5"/>
          <w:szCs w:val="17.5"/>
          <w:color w:val="000000"/>
        </w:rPr>
        <w:t xml:space="preserve">Executive Dashboards &amp; Decision Support: </w:t>
      </w:r>
      <w:r>
        <w:rPr>
          <w:rFonts w:ascii="Calibri" w:hAnsi="Calibri" w:cs="Calibri"/>
          <w:sz w:val="17.5"/>
          <w:szCs w:val="17.5"/>
          <w:color w:val="000000"/>
        </w:rPr>
        <w:t xml:space="preserve">Architected an executive 6-page Power BI dashboard with top-down drill-downs (District → Facility → Designation → Individual) tracking core KPIs, enabling leadership to enforce data-backed policy actions across 5 sub-departments.</w:t>
      </w:r>
    </w:p>
    <w:p>
      <w:pPr>
        <w:spacing w:before="70" w:after="25" w:line="230" w:lineRule="auto"/>
        <w:pBdr>
          <w:bottom w:val="single" w:sz="6" w:space="1" w:color="000000"/>
        </w:pBdr>
        <w:rPr>
          <w:smallCaps/>
        </w:rPr>
      </w:pPr>
      <w:r>
        <w:rPr>
          <w:rFonts w:ascii="Calibri" w:hAnsi="Calibri" w:cs="Calibri"/>
          <w:b/>
          <w:bCs/>
          <w:sz w:val="21"/>
          <w:szCs w:val="21"/>
          <w:color w:val="000000"/>
        </w:rPr>
        <w:t xml:space="preserve">KEY PROJECTS</w:t>
      </w:r>
    </w:p>
    <w:p>
      <w:pPr>
        <w:spacing w:before="25" w:after="10" w:line="230" w:lineRule="auto"/>
        <w:tabs>
          <w:tab w:val="right" w:pos="10800"/>
        </w:tabs>
      </w:pPr>
      <w:r>
        <w:rPr>
          <w:rFonts w:ascii="Calibri" w:hAnsi="Calibri" w:cs="Calibri"/>
          <w:b/>
          <w:bCs/>
          <w:sz w:val="19"/>
          <w:szCs w:val="19"/>
          <w:color w:val="000000"/>
        </w:rPr>
        <w:t xml:space="preserve">Proactive Risk Prediction &amp; AI Decision Engine</w:t>
      </w:r>
      <w:r>
        <w:rPr>
          <w:rFonts w:ascii="Calibri" w:hAnsi="Calibri" w:cs="Calibri"/>
          <w:sz w:val="18"/>
          <w:szCs w:val="18"/>
          <w:color w:val="000000"/>
        </w:rPr>
        <w:t xml:space="preserve"> | </w:t>
      </w:r>
      <w:r>
        <w:rPr>
          <w:rFonts w:ascii="Calibri" w:hAnsi="Calibri" w:cs="Calibri"/>
          <w:i/>
          <w:iCs/>
          <w:sz w:val="17.5"/>
          <w:szCs w:val="17.5"/>
          <w:color w:val="000000"/>
        </w:rPr>
        <w:t xml:space="preserve">Python, PyTorch, Scikit-learn</w:t>
      </w:r>
      <w:r>
        <w:tab/>
      </w:r>
      <w:r>
        <w:rPr>
          <w:rFonts w:ascii="Calibri" w:hAnsi="Calibri" w:cs="Calibri"/>
          <w:b/>
          <w:bCs/>
          <w:sz w:val="17.5"/>
          <w:szCs w:val="17.5"/>
          <w:color w:val="000000"/>
        </w:rPr>
        <w:t xml:space="preserve">Predictive Risk Analytics</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sz w:val="17.5"/>
          <w:szCs w:val="17.5"/>
          <w:color w:val="000000"/>
        </w:rPr>
        <w:t xml:space="preserve">Engineered an automated proactive decision framework replacing reactive delay-based protocols to predict high-impact system failures before occurrence using multivariate temporal telemetry, attaining a </w:t>
      </w:r>
      <w:r>
        <w:rPr>
          <w:rFonts w:ascii="Calibri" w:hAnsi="Calibri" w:cs="Calibri"/>
          <w:b/>
          <w:bCs/>
          <w:sz w:val="17.5"/>
          <w:szCs w:val="17.5"/>
          <w:color w:val="000000"/>
        </w:rPr>
        <w:t xml:space="preserve">97.64% F1-score</w:t>
      </w:r>
      <w:r>
        <w:rPr>
          <w:rFonts w:ascii="Calibri" w:hAnsi="Calibri" w:cs="Calibri"/>
          <w:sz w:val="17.5"/>
          <w:szCs w:val="17.5"/>
          <w:color w:val="000000"/>
        </w:rPr>
        <w:t xml:space="preserve"> and handling 98:2 class imbalance via </w:t>
      </w:r>
      <w:r>
        <w:rPr>
          <w:rFonts w:ascii="Calibri" w:hAnsi="Calibri" w:cs="Calibri"/>
          <w:b/>
          <w:bCs/>
          <w:sz w:val="17.5"/>
          <w:szCs w:val="17.5"/>
          <w:color w:val="000000"/>
        </w:rPr>
        <w:t xml:space="preserve">SMOTE + Tomek Links</w:t>
      </w:r>
      <w:r>
        <w:rPr>
          <w:rFonts w:ascii="Calibri" w:hAnsi="Calibri" w:cs="Calibri"/>
          <w:sz w:val="17.5"/>
          <w:szCs w:val="17.5"/>
          <w:color w:val="000000"/>
        </w:rPr>
        <w:t xml:space="preserve">.</w:t>
      </w:r>
    </w:p>
    <w:p>
      <w:pPr>
        <w:spacing w:before="25" w:after="10" w:line="230" w:lineRule="auto"/>
        <w:tabs>
          <w:tab w:val="right" w:pos="10800"/>
        </w:tabs>
      </w:pPr>
      <w:r>
        <w:rPr>
          <w:rFonts w:ascii="Calibri" w:hAnsi="Calibri" w:cs="Calibri"/>
          <w:b/>
          <w:bCs/>
          <w:sz w:val="19"/>
          <w:szCs w:val="19"/>
          <w:color w:val="000000"/>
        </w:rPr>
        <w:t xml:space="preserve">Anomalous Content &amp; Text Classification System</w:t>
      </w:r>
      <w:r>
        <w:rPr>
          <w:rFonts w:ascii="Calibri" w:hAnsi="Calibri" w:cs="Calibri"/>
          <w:sz w:val="18"/>
          <w:szCs w:val="18"/>
          <w:color w:val="000000"/>
        </w:rPr>
        <w:t xml:space="preserve"> | </w:t>
      </w:r>
      <w:r>
        <w:rPr>
          <w:rFonts w:ascii="Calibri" w:hAnsi="Calibri" w:cs="Calibri"/>
          <w:i/>
          <w:iCs/>
          <w:sz w:val="17.5"/>
          <w:szCs w:val="17.5"/>
          <w:color w:val="000000"/>
        </w:rPr>
        <w:t xml:space="preserve">Python, BERT, XGBoost</w:t>
      </w:r>
      <w:r>
        <w:tab/>
      </w:r>
      <w:r>
        <w:rPr>
          <w:rFonts w:ascii="Calibri" w:hAnsi="Calibri" w:cs="Calibri"/>
          <w:b/>
          <w:bCs/>
          <w:sz w:val="17.5"/>
          <w:szCs w:val="17.5"/>
          <w:color w:val="000000"/>
        </w:rPr>
        <w:t xml:space="preserve">Applied Analytics</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sz w:val="17.5"/>
          <w:szCs w:val="17.5"/>
          <w:color w:val="000000"/>
        </w:rPr>
        <w:t xml:space="preserve">Built and benchmarked dual classification pipelines (BERT + XGBoost and Deep Hybrid Neural Networks) to isolate synthetic and anomalous patterns across large corpora, optimizing decision thresholds to achieve </w:t>
      </w:r>
      <w:r>
        <w:rPr>
          <w:rFonts w:ascii="Calibri" w:hAnsi="Calibri" w:cs="Calibri"/>
          <w:b/>
          <w:bCs/>
          <w:sz w:val="17.5"/>
          <w:szCs w:val="17.5"/>
          <w:color w:val="000000"/>
        </w:rPr>
        <w:t xml:space="preserve">99% Precision</w:t>
      </w:r>
      <w:r>
        <w:rPr>
          <w:rFonts w:ascii="Calibri" w:hAnsi="Calibri" w:cs="Calibri"/>
          <w:sz w:val="17.5"/>
          <w:szCs w:val="17.5"/>
          <w:color w:val="000000"/>
        </w:rPr>
        <w:t xml:space="preserve"> and </w:t>
      </w:r>
      <w:r>
        <w:rPr>
          <w:rFonts w:ascii="Calibri" w:hAnsi="Calibri" w:cs="Calibri"/>
          <w:b/>
          <w:bCs/>
          <w:sz w:val="17.5"/>
          <w:szCs w:val="17.5"/>
          <w:color w:val="000000"/>
        </w:rPr>
        <w:t xml:space="preserve">98% Recall</w:t>
      </w:r>
      <w:r>
        <w:rPr>
          <w:rFonts w:ascii="Calibri" w:hAnsi="Calibri" w:cs="Calibri"/>
          <w:sz w:val="17.5"/>
          <w:szCs w:val="17.5"/>
          <w:color w:val="000000"/>
        </w:rPr>
        <w:t xml:space="preserve">.</w:t>
      </w:r>
    </w:p>
    <w:p>
      <w:pPr>
        <w:spacing w:before="70" w:after="25" w:line="230" w:lineRule="auto"/>
        <w:pBdr>
          <w:bottom w:val="single" w:sz="6" w:space="1" w:color="000000"/>
        </w:pBdr>
        <w:rPr>
          <w:smallCaps/>
        </w:rPr>
      </w:pPr>
      <w:r>
        <w:rPr>
          <w:rFonts w:ascii="Calibri" w:hAnsi="Calibri" w:cs="Calibri"/>
          <w:b/>
          <w:bCs/>
          <w:sz w:val="21"/>
          <w:szCs w:val="21"/>
          <w:color w:val="000000"/>
        </w:rPr>
        <w:t xml:space="preserve">EDUCATION</w:t>
      </w:r>
    </w:p>
    <w:p>
      <w:pPr>
        <w:spacing w:before="25" w:after="10" w:line="230" w:lineRule="auto"/>
        <w:tabs>
          <w:tab w:val="right" w:pos="10800"/>
        </w:tabs>
      </w:pPr>
      <w:r>
        <w:rPr>
          <w:rFonts w:ascii="Calibri" w:hAnsi="Calibri" w:cs="Calibri"/>
          <w:b/>
          <w:bCs/>
          <w:sz w:val="19"/>
          <w:szCs w:val="19"/>
          <w:color w:val="000000"/>
        </w:rPr>
        <w:t xml:space="preserve">M.Tech in Computer Science &amp; Engineering</w:t>
      </w:r>
      <w:r>
        <w:rPr>
          <w:rFonts w:ascii="Calibri" w:hAnsi="Calibri" w:cs="Calibri"/>
          <w:sz w:val="18"/>
          <w:szCs w:val="18"/>
          <w:color w:val="000000"/>
        </w:rPr>
        <w:t xml:space="preserve"> | IIIT Naya Raipur (</w:t>
      </w:r>
      <w:r>
        <w:rPr>
          <w:rFonts w:ascii="Calibri" w:hAnsi="Calibri" w:cs="Calibri"/>
          <w:b/>
          <w:bCs/>
          <w:sz w:val="18"/>
          <w:szCs w:val="18"/>
          <w:color w:val="000000"/>
        </w:rPr>
        <w:t xml:space="preserve">CGPA: 7.90</w:t>
      </w:r>
      <w:r>
        <w:rPr>
          <w:rFonts w:ascii="Calibri" w:hAnsi="Calibri" w:cs="Calibri"/>
          <w:sz w:val="18"/>
          <w:szCs w:val="18"/>
          <w:color w:val="000000"/>
        </w:rPr>
        <w:t xml:space="preserve">)</w:t>
      </w:r>
      <w:r>
        <w:tab/>
      </w:r>
      <w:r>
        <w:rPr>
          <w:rFonts w:ascii="Calibri" w:hAnsi="Calibri" w:cs="Calibri"/>
          <w:b/>
          <w:bCs/>
          <w:sz w:val="18"/>
          <w:szCs w:val="18"/>
          <w:color w:val="000000"/>
        </w:rPr>
        <w:t xml:space="preserve">08/2024 – 07/2026</w:t>
      </w:r>
    </w:p>
    <w:p>
      <w:pPr>
        <w:spacing w:before="0" w:after="25" w:line="230" w:lineRule="auto"/>
        <w:tabs>
          <w:tab w:val="right" w:pos="10800"/>
        </w:tabs>
      </w:pPr>
      <w:r>
        <w:rPr>
          <w:rFonts w:ascii="Calibri" w:hAnsi="Calibri" w:cs="Calibri"/>
          <w:b/>
          <w:bCs/>
          <w:sz w:val="19"/>
          <w:szCs w:val="19"/>
          <w:color w:val="000000"/>
        </w:rPr>
        <w:t xml:space="preserve">B.Tech in Computer Science &amp; Engineering</w:t>
      </w:r>
      <w:r>
        <w:rPr>
          <w:rFonts w:ascii="Calibri" w:hAnsi="Calibri" w:cs="Calibri"/>
          <w:sz w:val="18"/>
          <w:szCs w:val="18"/>
          <w:color w:val="000000"/>
        </w:rPr>
        <w:t xml:space="preserve"> | Amity University Chhattisgarh (</w:t>
      </w:r>
      <w:r>
        <w:rPr>
          <w:rFonts w:ascii="Calibri" w:hAnsi="Calibri" w:cs="Calibri"/>
          <w:b/>
          <w:bCs/>
          <w:sz w:val="18"/>
          <w:szCs w:val="18"/>
          <w:color w:val="000000"/>
        </w:rPr>
        <w:t xml:space="preserve">CGPA: 7.71</w:t>
      </w:r>
      <w:r>
        <w:rPr>
          <w:rFonts w:ascii="Calibri" w:hAnsi="Calibri" w:cs="Calibri"/>
          <w:sz w:val="18"/>
          <w:szCs w:val="18"/>
          <w:color w:val="000000"/>
        </w:rPr>
        <w:t xml:space="preserve">)</w:t>
      </w:r>
      <w:r>
        <w:tab/>
      </w:r>
      <w:r>
        <w:rPr>
          <w:rFonts w:ascii="Calibri" w:hAnsi="Calibri" w:cs="Calibri"/>
          <w:b/>
          <w:bCs/>
          <w:sz w:val="18"/>
          <w:szCs w:val="18"/>
          <w:color w:val="000000"/>
        </w:rPr>
        <w:t xml:space="preserve">08/2019 – 06/2023</w:t>
      </w:r>
    </w:p>
    <w:p>
      <w:pPr>
        <w:spacing w:before="70" w:after="25" w:line="230" w:lineRule="auto"/>
        <w:pBdr>
          <w:bottom w:val="single" w:sz="6" w:space="1" w:color="000000"/>
        </w:pBdr>
        <w:rPr>
          <w:smallCaps/>
        </w:rPr>
      </w:pPr>
      <w:r>
        <w:rPr>
          <w:rFonts w:ascii="Calibri" w:hAnsi="Calibri" w:cs="Calibri"/>
          <w:b/>
          <w:bCs/>
          <w:sz w:val="21"/>
          <w:szCs w:val="21"/>
          <w:color w:val="000000"/>
        </w:rPr>
        <w:t xml:space="preserve">CERTIFICATIONS &amp; KEY QUALIFICATIONS</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b/>
          <w:bCs/>
          <w:sz w:val="17.5"/>
          <w:szCs w:val="17.5"/>
          <w:color w:val="000000"/>
        </w:rPr>
        <w:t xml:space="preserve">SQL for Beginners &amp; Database Design (Udemy)</w:t>
      </w:r>
      <w:r>
        <w:rPr>
          <w:rFonts w:ascii="Calibri" w:hAnsi="Calibri" w:cs="Calibri"/>
          <w:sz w:val="17.5"/>
          <w:szCs w:val="17.5"/>
          <w:color w:val="000000"/>
        </w:rPr>
        <w:t xml:space="preserve">  |  </w:t>
      </w:r>
      <w:r>
        <w:rPr>
          <w:rFonts w:ascii="Calibri" w:hAnsi="Calibri" w:cs="Calibri"/>
          <w:b/>
          <w:bCs/>
          <w:sz w:val="17.5"/>
          <w:szCs w:val="17.5"/>
          <w:color w:val="000000"/>
        </w:rPr>
        <w:t xml:space="preserve">Microsoft Power BI Desktop for Business Intelligence (Udemy)</w:t>
      </w:r>
    </w:p>
    <w:p>
      <w:pPr>
        <w:spacing w:before="0" w:after="20" w:line="220" w:lineRule="auto"/>
        <w:ind w:left="320" w:hanging="180"/>
      </w:pPr>
      <w:r>
        <w:rPr>
          <w:rFonts w:ascii="Calibri" w:hAnsi="Calibri" w:cs="Calibri"/>
          <w:sz w:val="17.5"/>
          <w:szCs w:val="17.5"/>
          <w:color w:val="000000"/>
        </w:rPr>
        <w:t xml:space="preserve">•  </w:t>
      </w:r>
      <w:r>
        <w:rPr>
          <w:rFonts w:ascii="Calibri" w:hAnsi="Calibri" w:cs="Calibri"/>
          <w:b/>
          <w:bCs/>
          <w:sz w:val="17.5"/>
          <w:szCs w:val="17.5"/>
          <w:color w:val="000000"/>
        </w:rPr>
        <w:t xml:space="preserve">Python for Data Science, AI &amp; Development (Coursera)</w:t>
      </w:r>
      <w:r>
        <w:rPr>
          <w:rFonts w:ascii="Calibri" w:hAnsi="Calibri" w:cs="Calibri"/>
          <w:sz w:val="17.5"/>
          <w:szCs w:val="17.5"/>
          <w:color w:val="000000"/>
        </w:rPr>
        <w:t xml:space="preserve">  |  </w:t>
      </w:r>
      <w:r>
        <w:rPr>
          <w:rFonts w:ascii="Calibri" w:hAnsi="Calibri" w:cs="Calibri"/>
          <w:b/>
          <w:bCs/>
          <w:sz w:val="17.5"/>
          <w:szCs w:val="17.5"/>
          <w:color w:val="000000"/>
        </w:rPr>
        <w:t xml:space="preserve">Qualified GATE (CS), 2024</w:t>
      </w:r>
      <w:r>
        <w:rPr>
          <w:rFonts w:ascii="Calibri" w:hAnsi="Calibri" w:cs="Calibri"/>
          <w:sz w:val="17.5"/>
          <w:szCs w:val="17.5"/>
          <w:color w:val="000000"/>
        </w:rPr>
        <w:t xml:space="preserve">  |  </w:t>
      </w:r>
      <w:r>
        <w:rPr>
          <w:rFonts w:ascii="Calibri" w:hAnsi="Calibri" w:cs="Calibri"/>
          <w:b/>
          <w:bCs/>
          <w:sz w:val="17.5"/>
          <w:szCs w:val="17.5"/>
          <w:color w:val="000000"/>
        </w:rPr>
        <w:t xml:space="preserve">IELTS Academic: 7.5 Band Score</w:t>
      </w:r>
    </w:p>
    <w:sectPr>
      <w:pgSz w:w="12240" w:h="15840"/>
      <w:pgMar w:top="600" w:right="600" w:bottom="600" w:left="600" w:header="500" w:footer="500" w:gutter="0"/>
      <w:cols w:space="720"/>
      <w:docGrid w:linePitch="360"/>
    </w:sectPr>
  </w:body>
</w:document>
</file>

<file path=word/fontTable.xml><?xml version="1.0" encoding="utf-8"?>
<w:fontTable xmlns:w="http://schemas.openxmlformats.org/wordprocessingml/2006/main">
  <w:font w:name="Calibri">
    <w:panose1 w:val="020F0502020204030204"/>
    <w:charset w:val="00"/>
    <w:family w:val="swiss"/>
    <w:pitch w:val="variable"/>
  </w:font>
</w:fontTable>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Calibri" w:hAnsi="Calibri" w:cs="Calibri"/>
        <w:sz w:val="18"/>
        <w:szCs w:val="18"/>
        <w:color w:val="000000"/>
      </w:rPr>
    </w:rPrDefault>
    <w:pPrDefault>
      <w:pPr>
        <w:spacing w:after="30" w:line="23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Rishi Thakur - Resume</dc:title>
  <dc:creator>Rishi Thakur</dc:creator>
  <cp:lastModifiedBy>Rishi Thakur</cp:lastModifiedBy>
</cp:coreProperties>
</file>