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42049" w14:textId="2E3C8A1D" w:rsidR="00FF4C89" w:rsidRPr="00FF4C89" w:rsidRDefault="00FF4C89" w:rsidP="00FF4C89">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FF4C89">
        <w:rPr>
          <w:rFonts w:ascii="Times New Roman" w:eastAsia="Times New Roman" w:hAnsi="Times New Roman" w:cs="Times New Roman"/>
          <w:b/>
          <w:bCs/>
          <w:kern w:val="0"/>
          <w:sz w:val="28"/>
          <w:szCs w:val="28"/>
          <w14:ligatures w14:val="none"/>
        </w:rPr>
        <w:t>Model Acceptance Criteria for PD, LGD and EAD Models</w:t>
      </w:r>
    </w:p>
    <w:p w14:paraId="5E1B3A1B" w14:textId="510D416F" w:rsidR="00FF4C89" w:rsidRDefault="00FF4C89" w:rsidP="00FF4C89">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new PD model was developed to address all the previous action items and Regulatory requirements (i.e., SAMA IFRS 9 Guidelines). </w:t>
      </w:r>
    </w:p>
    <w:p w14:paraId="5591038F" w14:textId="77777777" w:rsidR="00FF4C89" w:rsidRDefault="00FF4C89" w:rsidP="00FF4C89">
      <w:pPr>
        <w:spacing w:before="100" w:beforeAutospacing="1" w:after="100" w:afterAutospacing="1" w:line="240" w:lineRule="auto"/>
        <w:jc w:val="both"/>
        <w:rPr>
          <w:rFonts w:ascii="Times New Roman" w:eastAsia="Times New Roman" w:hAnsi="Times New Roman" w:cs="Times New Roman"/>
          <w:kern w:val="0"/>
          <w14:ligatures w14:val="none"/>
        </w:rPr>
      </w:pPr>
      <w:r w:rsidRPr="00504B5F">
        <w:rPr>
          <w:rFonts w:ascii="Times New Roman" w:eastAsia="Times New Roman" w:hAnsi="Times New Roman" w:cs="Times New Roman"/>
          <w:kern w:val="0"/>
          <w14:ligatures w14:val="none"/>
        </w:rPr>
        <w:t xml:space="preserve">Measures are computed and evaluated to address two main aspects of model performance: model </w:t>
      </w:r>
      <w:r>
        <w:rPr>
          <w:rFonts w:ascii="Times New Roman" w:eastAsia="Times New Roman" w:hAnsi="Times New Roman" w:cs="Times New Roman"/>
          <w:kern w:val="0"/>
          <w14:ligatures w14:val="none"/>
        </w:rPr>
        <w:t>coefficient stability &amp; business intuition and model goodness of fit</w:t>
      </w:r>
      <w:r w:rsidRPr="00504B5F">
        <w:rPr>
          <w:rFonts w:ascii="Times New Roman" w:eastAsia="Times New Roman" w:hAnsi="Times New Roman" w:cs="Times New Roman"/>
          <w:kern w:val="0"/>
          <w14:ligatures w14:val="none"/>
        </w:rPr>
        <w:t xml:space="preserve"> (risk differentiation). Where tests in the model standards are not used</w:t>
      </w:r>
      <w:r>
        <w:rPr>
          <w:rFonts w:ascii="Times New Roman" w:eastAsia="Times New Roman" w:hAnsi="Times New Roman" w:cs="Times New Roman"/>
          <w:kern w:val="0"/>
          <w14:ligatures w14:val="none"/>
        </w:rPr>
        <w:t>,</w:t>
      </w:r>
      <w:r w:rsidRPr="00504B5F">
        <w:rPr>
          <w:rFonts w:ascii="Times New Roman" w:eastAsia="Times New Roman" w:hAnsi="Times New Roman" w:cs="Times New Roman"/>
          <w:kern w:val="0"/>
          <w14:ligatures w14:val="none"/>
        </w:rPr>
        <w:t xml:space="preserve"> or thresholds are breached, explanations are expected to justify why this is deemed acceptable.</w:t>
      </w:r>
    </w:p>
    <w:p w14:paraId="3742786A" w14:textId="4ECC212F" w:rsidR="00FF4C89" w:rsidRPr="00504B5F" w:rsidRDefault="00FF4C89" w:rsidP="00FF4C89">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Based on the development testing samples from risk differentiation and risk quantification perspectives, the model is expected to be assessed against statistical significance tests and overall performance at the model level</w:t>
      </w:r>
      <w:r w:rsidRPr="00504B5F">
        <w:rPr>
          <w:rFonts w:ascii="Times New Roman" w:eastAsia="Times New Roman" w:hAnsi="Times New Roman" w:cs="Times New Roman"/>
          <w:kern w:val="0"/>
          <w14:ligatures w14:val="none"/>
        </w:rPr>
        <w:t xml:space="preserve">. The overall model performance metrics and diagnostical tests </w:t>
      </w:r>
      <w:r>
        <w:rPr>
          <w:rFonts w:ascii="Times New Roman" w:eastAsia="Times New Roman" w:hAnsi="Times New Roman" w:cs="Times New Roman"/>
          <w:kern w:val="0"/>
          <w14:ligatures w14:val="none"/>
        </w:rPr>
        <w:t xml:space="preserve">for PD, LGD, and EAD are </w:t>
      </w:r>
      <w:proofErr w:type="spellStart"/>
      <w:r>
        <w:rPr>
          <w:rFonts w:ascii="Times New Roman" w:eastAsia="Times New Roman" w:hAnsi="Times New Roman" w:cs="Times New Roman"/>
          <w:kern w:val="0"/>
          <w14:ligatures w14:val="none"/>
        </w:rPr>
        <w:t>summarised</w:t>
      </w:r>
      <w:proofErr w:type="spellEnd"/>
      <w:r>
        <w:rPr>
          <w:rFonts w:ascii="Times New Roman" w:eastAsia="Times New Roman" w:hAnsi="Times New Roman" w:cs="Times New Roman"/>
          <w:kern w:val="0"/>
          <w14:ligatures w14:val="none"/>
        </w:rPr>
        <w:t xml:space="preserve"> below</w:t>
      </w:r>
      <w:r w:rsidRPr="00504B5F">
        <w:rPr>
          <w:rFonts w:ascii="Times New Roman" w:eastAsia="Times New Roman" w:hAnsi="Times New Roman" w:cs="Times New Roman"/>
          <w:kern w:val="0"/>
          <w14:ligatures w14:val="none"/>
        </w:rPr>
        <w:t>.</w:t>
      </w:r>
    </w:p>
    <w:p w14:paraId="0C1250D4" w14:textId="77777777" w:rsidR="00FF4C89" w:rsidRPr="00504B5F" w:rsidRDefault="00FF4C89" w:rsidP="00FF4C89">
      <w:pPr>
        <w:rPr>
          <w:b/>
          <w:bCs/>
        </w:rPr>
      </w:pPr>
      <w:r>
        <w:rPr>
          <w:b/>
          <w:bCs/>
        </w:rPr>
        <w:t>Probability of</w:t>
      </w:r>
      <w:r w:rsidRPr="00504B5F">
        <w:rPr>
          <w:b/>
          <w:bCs/>
        </w:rPr>
        <w:t xml:space="preserve"> Default (</w:t>
      </w:r>
      <w:r>
        <w:rPr>
          <w:b/>
          <w:bCs/>
        </w:rPr>
        <w:t>P</w:t>
      </w:r>
      <w:r w:rsidRPr="00504B5F">
        <w:rPr>
          <w:b/>
          <w:bCs/>
        </w:rPr>
        <w:t>D) Models</w:t>
      </w:r>
    </w:p>
    <w:p w14:paraId="35B39215" w14:textId="77777777" w:rsidR="00FF4C89" w:rsidRPr="00504B5F" w:rsidRDefault="00FF4C89" w:rsidP="00FF4C89">
      <w:pPr>
        <w:numPr>
          <w:ilvl w:val="0"/>
          <w:numId w:val="1"/>
        </w:numPr>
      </w:pPr>
      <w:r w:rsidRPr="00504B5F">
        <w:rPr>
          <w:b/>
          <w:bCs/>
        </w:rPr>
        <w:t>Predictive Power:</w:t>
      </w:r>
    </w:p>
    <w:p w14:paraId="44F80AE4" w14:textId="77777777" w:rsidR="00FF4C89" w:rsidRPr="00504B5F" w:rsidRDefault="00FF4C89" w:rsidP="00FF4C89">
      <w:pPr>
        <w:numPr>
          <w:ilvl w:val="1"/>
          <w:numId w:val="1"/>
        </w:numPr>
      </w:pPr>
      <w:r w:rsidRPr="00504B5F">
        <w:rPr>
          <w:b/>
          <w:bCs/>
        </w:rPr>
        <w:t>Coefficient of Determination (R^2):</w:t>
      </w:r>
      <w:r w:rsidRPr="00504B5F">
        <w:t xml:space="preserve"> Measure the proportion of variance in observed </w:t>
      </w:r>
      <w:r>
        <w:t>Default Rate</w:t>
      </w:r>
      <w:r w:rsidRPr="00504B5F">
        <w:t>s explained by the model.</w:t>
      </w:r>
    </w:p>
    <w:p w14:paraId="7AC6AFCE" w14:textId="77777777" w:rsidR="00FF4C89" w:rsidRPr="00504B5F" w:rsidRDefault="00FF4C89" w:rsidP="00FF4C89">
      <w:pPr>
        <w:numPr>
          <w:ilvl w:val="1"/>
          <w:numId w:val="1"/>
        </w:numPr>
      </w:pPr>
      <w:r w:rsidRPr="00504B5F">
        <w:rPr>
          <w:b/>
          <w:bCs/>
        </w:rPr>
        <w:t>Mean Absolute Error (MAE) and Root Mean Squared Error (RMSE):</w:t>
      </w:r>
      <w:r w:rsidRPr="00504B5F">
        <w:t xml:space="preserve"> Assess the accuracy of </w:t>
      </w:r>
      <w:r>
        <w:t>PD</w:t>
      </w:r>
      <w:r w:rsidRPr="00504B5F">
        <w:t xml:space="preserve"> predictions.</w:t>
      </w:r>
    </w:p>
    <w:p w14:paraId="33537004" w14:textId="77777777" w:rsidR="00FF4C89" w:rsidRPr="00504B5F" w:rsidRDefault="00FF4C89" w:rsidP="00FF4C89">
      <w:pPr>
        <w:numPr>
          <w:ilvl w:val="0"/>
          <w:numId w:val="1"/>
        </w:numPr>
      </w:pPr>
      <w:r w:rsidRPr="00504B5F">
        <w:rPr>
          <w:b/>
          <w:bCs/>
        </w:rPr>
        <w:t>Calibration:</w:t>
      </w:r>
    </w:p>
    <w:p w14:paraId="22FD1ECC" w14:textId="77777777" w:rsidR="00FF4C89" w:rsidRPr="00504B5F" w:rsidRDefault="00FF4C89" w:rsidP="00FF4C89">
      <w:pPr>
        <w:numPr>
          <w:ilvl w:val="1"/>
          <w:numId w:val="1"/>
        </w:numPr>
      </w:pPr>
      <w:r w:rsidRPr="00504B5F">
        <w:rPr>
          <w:b/>
          <w:bCs/>
        </w:rPr>
        <w:t>Goodness-of-Fit Tests:</w:t>
      </w:r>
      <w:r w:rsidRPr="00504B5F">
        <w:t xml:space="preserve"> Use statistical tests to compare predicted and observed </w:t>
      </w:r>
      <w:r>
        <w:t>Default Rates</w:t>
      </w:r>
      <w:r w:rsidRPr="00504B5F">
        <w:t>.</w:t>
      </w:r>
    </w:p>
    <w:p w14:paraId="63934DAD" w14:textId="77777777" w:rsidR="00FF4C89" w:rsidRPr="00504B5F" w:rsidRDefault="00FF4C89" w:rsidP="00FF4C89">
      <w:pPr>
        <w:numPr>
          <w:ilvl w:val="1"/>
          <w:numId w:val="1"/>
        </w:numPr>
      </w:pPr>
      <w:r w:rsidRPr="00504B5F">
        <w:rPr>
          <w:b/>
          <w:bCs/>
        </w:rPr>
        <w:t>Back</w:t>
      </w:r>
      <w:r>
        <w:rPr>
          <w:b/>
          <w:bCs/>
        </w:rPr>
        <w:t>-</w:t>
      </w:r>
      <w:r w:rsidRPr="00504B5F">
        <w:rPr>
          <w:b/>
          <w:bCs/>
        </w:rPr>
        <w:t>testing:</w:t>
      </w:r>
      <w:r w:rsidRPr="00504B5F">
        <w:t xml:space="preserve"> Validate the model using historical </w:t>
      </w:r>
      <w:r>
        <w:t>PD</w:t>
      </w:r>
      <w:r w:rsidRPr="00504B5F">
        <w:t xml:space="preserve"> data.</w:t>
      </w:r>
    </w:p>
    <w:p w14:paraId="2517D053" w14:textId="77777777" w:rsidR="00FF4C89" w:rsidRPr="00504B5F" w:rsidRDefault="00FF4C89" w:rsidP="00FF4C89">
      <w:pPr>
        <w:numPr>
          <w:ilvl w:val="0"/>
          <w:numId w:val="1"/>
        </w:numPr>
      </w:pPr>
      <w:r w:rsidRPr="00504B5F">
        <w:rPr>
          <w:b/>
          <w:bCs/>
        </w:rPr>
        <w:t>Segmentation:</w:t>
      </w:r>
    </w:p>
    <w:p w14:paraId="1D9FB7E7" w14:textId="77777777" w:rsidR="00FF4C89" w:rsidRPr="00504B5F" w:rsidRDefault="00FF4C89" w:rsidP="00FF4C89">
      <w:pPr>
        <w:numPr>
          <w:ilvl w:val="1"/>
          <w:numId w:val="1"/>
        </w:numPr>
      </w:pPr>
      <w:r w:rsidRPr="00504B5F">
        <w:t xml:space="preserve">Ensure that the model appropriately segments different types of exposures, reflecting differences in </w:t>
      </w:r>
      <w:r>
        <w:t>Default Rates</w:t>
      </w:r>
      <w:r w:rsidRPr="00504B5F">
        <w:t xml:space="preserve"> across segments.</w:t>
      </w:r>
    </w:p>
    <w:p w14:paraId="135ED1CB" w14:textId="77777777" w:rsidR="00FF4C89" w:rsidRPr="00504B5F" w:rsidRDefault="00FF4C89" w:rsidP="00FF4C89">
      <w:pPr>
        <w:numPr>
          <w:ilvl w:val="0"/>
          <w:numId w:val="1"/>
        </w:numPr>
      </w:pPr>
      <w:r w:rsidRPr="00504B5F">
        <w:rPr>
          <w:b/>
          <w:bCs/>
        </w:rPr>
        <w:t>Stress Testing:</w:t>
      </w:r>
    </w:p>
    <w:p w14:paraId="37A3070D" w14:textId="77777777" w:rsidR="00FF4C89" w:rsidRPr="00504B5F" w:rsidRDefault="00FF4C89" w:rsidP="00FF4C89">
      <w:pPr>
        <w:numPr>
          <w:ilvl w:val="1"/>
          <w:numId w:val="1"/>
        </w:numPr>
      </w:pPr>
      <w:r w:rsidRPr="00504B5F">
        <w:t>Test the model under various stress scenarios to ensure it performs well under adverse conditions.</w:t>
      </w:r>
    </w:p>
    <w:p w14:paraId="0452614E" w14:textId="77777777" w:rsidR="00FF4C89" w:rsidRPr="00504B5F" w:rsidRDefault="00FF4C89" w:rsidP="00FF4C89">
      <w:pPr>
        <w:numPr>
          <w:ilvl w:val="0"/>
          <w:numId w:val="1"/>
        </w:numPr>
      </w:pPr>
      <w:r w:rsidRPr="00504B5F">
        <w:rPr>
          <w:b/>
          <w:bCs/>
        </w:rPr>
        <w:t>Regulatory Compliance:</w:t>
      </w:r>
    </w:p>
    <w:p w14:paraId="676BB02B" w14:textId="77777777" w:rsidR="00FF4C89" w:rsidRPr="00504B5F" w:rsidRDefault="00FF4C89" w:rsidP="00FF4C89">
      <w:pPr>
        <w:numPr>
          <w:ilvl w:val="1"/>
          <w:numId w:val="1"/>
        </w:numPr>
      </w:pPr>
      <w:r w:rsidRPr="00504B5F">
        <w:t>Adhere to guidelines from the Basel Committee on Banking Supervision (BCBS)</w:t>
      </w:r>
      <w:r>
        <w:t xml:space="preserve"> and SAMA</w:t>
      </w:r>
      <w:r w:rsidRPr="00504B5F">
        <w:t xml:space="preserve"> for </w:t>
      </w:r>
      <w:r>
        <w:t>PD</w:t>
      </w:r>
      <w:r w:rsidRPr="00504B5F">
        <w:t xml:space="preserve"> estimation and validation.</w:t>
      </w:r>
    </w:p>
    <w:p w14:paraId="295262B9" w14:textId="77777777" w:rsidR="00FF4C89" w:rsidRPr="00504B5F" w:rsidRDefault="00FF4C89" w:rsidP="00FF4C89">
      <w:pPr>
        <w:rPr>
          <w:b/>
          <w:bCs/>
        </w:rPr>
      </w:pPr>
      <w:r>
        <w:rPr>
          <w:b/>
          <w:bCs/>
        </w:rPr>
        <w:lastRenderedPageBreak/>
        <w:t xml:space="preserve">Acceptance criteria for Loss Given Default (LGD) and </w:t>
      </w:r>
      <w:r w:rsidRPr="00504B5F">
        <w:rPr>
          <w:b/>
          <w:bCs/>
        </w:rPr>
        <w:t>Exposure at Default (EAD) Models</w:t>
      </w:r>
      <w:r>
        <w:rPr>
          <w:b/>
          <w:bCs/>
        </w:rPr>
        <w:t>.</w:t>
      </w:r>
    </w:p>
    <w:p w14:paraId="58A22BC5" w14:textId="77777777" w:rsidR="00FF4C89" w:rsidRPr="00504B5F" w:rsidRDefault="00FF4C89" w:rsidP="00FF4C89">
      <w:pPr>
        <w:numPr>
          <w:ilvl w:val="0"/>
          <w:numId w:val="2"/>
        </w:numPr>
      </w:pPr>
      <w:r w:rsidRPr="00504B5F">
        <w:rPr>
          <w:b/>
          <w:bCs/>
        </w:rPr>
        <w:t>Predictive Accuracy:</w:t>
      </w:r>
    </w:p>
    <w:p w14:paraId="6076193A" w14:textId="77777777" w:rsidR="00FF4C89" w:rsidRPr="00504B5F" w:rsidRDefault="00FF4C89" w:rsidP="00FF4C89">
      <w:pPr>
        <w:numPr>
          <w:ilvl w:val="1"/>
          <w:numId w:val="2"/>
        </w:numPr>
      </w:pPr>
      <w:r w:rsidRPr="00504B5F">
        <w:rPr>
          <w:b/>
          <w:bCs/>
        </w:rPr>
        <w:t>Mean Absolute Percentage Error (MAPE) and Root Mean Squared Error (RMSE):</w:t>
      </w:r>
      <w:r w:rsidRPr="00504B5F">
        <w:t xml:space="preserve"> Evaluate the accuracy of </w:t>
      </w:r>
      <w:r>
        <w:t xml:space="preserve">LGD and </w:t>
      </w:r>
      <w:r w:rsidRPr="00504B5F">
        <w:t>EAD predictions.</w:t>
      </w:r>
    </w:p>
    <w:p w14:paraId="2DB2BF28" w14:textId="77777777" w:rsidR="00FF4C89" w:rsidRDefault="00FF4C89" w:rsidP="00FF4C89">
      <w:pPr>
        <w:numPr>
          <w:ilvl w:val="1"/>
          <w:numId w:val="2"/>
        </w:numPr>
      </w:pPr>
      <w:r w:rsidRPr="00504B5F">
        <w:rPr>
          <w:b/>
          <w:bCs/>
        </w:rPr>
        <w:t>Out-of-Sample Testing:</w:t>
      </w:r>
      <w:r w:rsidRPr="00504B5F">
        <w:t xml:space="preserve"> Validate the model on data not used during model development.</w:t>
      </w:r>
    </w:p>
    <w:p w14:paraId="3D5C2963" w14:textId="77777777" w:rsidR="00FF4C89" w:rsidRPr="00504B5F" w:rsidRDefault="00FF4C89" w:rsidP="00FF4C89">
      <w:pPr>
        <w:numPr>
          <w:ilvl w:val="1"/>
          <w:numId w:val="2"/>
        </w:numPr>
      </w:pPr>
      <w:r w:rsidRPr="00504B5F">
        <w:rPr>
          <w:b/>
          <w:bCs/>
        </w:rPr>
        <w:t>Back</w:t>
      </w:r>
      <w:r>
        <w:rPr>
          <w:b/>
          <w:bCs/>
        </w:rPr>
        <w:t>-</w:t>
      </w:r>
      <w:r w:rsidRPr="00504B5F">
        <w:rPr>
          <w:b/>
          <w:bCs/>
        </w:rPr>
        <w:t>testing:</w:t>
      </w:r>
      <w:r w:rsidRPr="00504B5F">
        <w:t xml:space="preserve"> Validate the model using historical LGD data.</w:t>
      </w:r>
    </w:p>
    <w:p w14:paraId="13AC9C3A" w14:textId="77777777" w:rsidR="00FF4C89" w:rsidRPr="00504B5F" w:rsidRDefault="00FF4C89" w:rsidP="00FF4C89">
      <w:pPr>
        <w:numPr>
          <w:ilvl w:val="0"/>
          <w:numId w:val="2"/>
        </w:numPr>
      </w:pPr>
      <w:r w:rsidRPr="00504B5F">
        <w:rPr>
          <w:b/>
          <w:bCs/>
        </w:rPr>
        <w:t>Conservatism:</w:t>
      </w:r>
    </w:p>
    <w:p w14:paraId="5FF207B4" w14:textId="77777777" w:rsidR="00FF4C89" w:rsidRPr="00504B5F" w:rsidRDefault="00FF4C89" w:rsidP="00FF4C89">
      <w:pPr>
        <w:numPr>
          <w:ilvl w:val="1"/>
          <w:numId w:val="2"/>
        </w:numPr>
      </w:pPr>
      <w:r w:rsidRPr="00504B5F">
        <w:t>Ensure that the model provides conservative estimates of exposure, especially under stressed conditions.</w:t>
      </w:r>
    </w:p>
    <w:p w14:paraId="631E6BCA" w14:textId="77777777" w:rsidR="00FF4C89" w:rsidRPr="00504B5F" w:rsidRDefault="00FF4C89" w:rsidP="00FF4C89">
      <w:pPr>
        <w:numPr>
          <w:ilvl w:val="0"/>
          <w:numId w:val="2"/>
        </w:numPr>
      </w:pPr>
      <w:r w:rsidRPr="00504B5F">
        <w:rPr>
          <w:b/>
          <w:bCs/>
        </w:rPr>
        <w:t>Segmentation:</w:t>
      </w:r>
    </w:p>
    <w:p w14:paraId="211A17B3" w14:textId="77777777" w:rsidR="00FF4C89" w:rsidRDefault="00FF4C89" w:rsidP="00FF4C89">
      <w:pPr>
        <w:numPr>
          <w:ilvl w:val="1"/>
          <w:numId w:val="2"/>
        </w:numPr>
      </w:pPr>
      <w:r>
        <w:t xml:space="preserve">LGD - </w:t>
      </w:r>
      <w:r w:rsidRPr="00504B5F">
        <w:t>Ensure that the model appropriately segments different types of exposures, reflecting differences in recovery rates across segments.</w:t>
      </w:r>
    </w:p>
    <w:p w14:paraId="010BF66A" w14:textId="77777777" w:rsidR="00FF4C89" w:rsidRPr="00504B5F" w:rsidRDefault="00FF4C89" w:rsidP="00FF4C89">
      <w:pPr>
        <w:numPr>
          <w:ilvl w:val="1"/>
          <w:numId w:val="2"/>
        </w:numPr>
      </w:pPr>
      <w:r>
        <w:t xml:space="preserve">EAD - </w:t>
      </w:r>
      <w:r w:rsidRPr="00504B5F">
        <w:t>Segment exposures appropriately to reflect differences in usage patterns and potential future drawdowns.</w:t>
      </w:r>
    </w:p>
    <w:p w14:paraId="42F8DF74" w14:textId="77777777" w:rsidR="00FF4C89" w:rsidRPr="00504B5F" w:rsidRDefault="00FF4C89" w:rsidP="00FF4C89">
      <w:pPr>
        <w:numPr>
          <w:ilvl w:val="0"/>
          <w:numId w:val="2"/>
        </w:numPr>
      </w:pPr>
      <w:r w:rsidRPr="00504B5F">
        <w:rPr>
          <w:b/>
          <w:bCs/>
        </w:rPr>
        <w:t>Utilization Rate Models:</w:t>
      </w:r>
    </w:p>
    <w:p w14:paraId="60A13FA7" w14:textId="77777777" w:rsidR="00FF4C89" w:rsidRPr="00504B5F" w:rsidRDefault="00FF4C89" w:rsidP="00FF4C89">
      <w:pPr>
        <w:numPr>
          <w:ilvl w:val="1"/>
          <w:numId w:val="2"/>
        </w:numPr>
      </w:pPr>
      <w:r w:rsidRPr="00504B5F">
        <w:t>For revolving exposures, validate the utilization rate models that predict the proportion of available credit lines that will be drawn down at default.</w:t>
      </w:r>
    </w:p>
    <w:p w14:paraId="2513DF28" w14:textId="77777777" w:rsidR="00FF4C89" w:rsidRPr="00504B5F" w:rsidRDefault="00FF4C89" w:rsidP="00FF4C89">
      <w:pPr>
        <w:numPr>
          <w:ilvl w:val="0"/>
          <w:numId w:val="2"/>
        </w:numPr>
      </w:pPr>
      <w:r w:rsidRPr="00504B5F">
        <w:rPr>
          <w:b/>
          <w:bCs/>
        </w:rPr>
        <w:t>Regulatory Compliance:</w:t>
      </w:r>
    </w:p>
    <w:p w14:paraId="0664D42E" w14:textId="77777777" w:rsidR="00FF4C89" w:rsidRPr="00504B5F" w:rsidRDefault="00FF4C89" w:rsidP="00FF4C89">
      <w:pPr>
        <w:numPr>
          <w:ilvl w:val="1"/>
          <w:numId w:val="2"/>
        </w:numPr>
      </w:pPr>
      <w:r w:rsidRPr="00504B5F">
        <w:t>Follow guidelines such as those from BCBS</w:t>
      </w:r>
      <w:r>
        <w:t>/SAMA</w:t>
      </w:r>
      <w:r w:rsidRPr="00504B5F">
        <w:t xml:space="preserve"> and ensure compliance with regulatory standards for </w:t>
      </w:r>
      <w:r>
        <w:t xml:space="preserve">LGD &amp; </w:t>
      </w:r>
      <w:r w:rsidRPr="00504B5F">
        <w:t>EAD estimation and validation.</w:t>
      </w:r>
    </w:p>
    <w:p w14:paraId="652CA999" w14:textId="77777777" w:rsidR="00FF4C89" w:rsidRPr="00504B5F" w:rsidRDefault="00FF4C89" w:rsidP="00FF4C89"/>
    <w:p w14:paraId="7D7337F5" w14:textId="77777777" w:rsidR="00FF4C89" w:rsidRPr="00504B5F" w:rsidRDefault="00FF4C89" w:rsidP="00FF4C89">
      <w:pPr>
        <w:rPr>
          <w:b/>
          <w:bCs/>
        </w:rPr>
      </w:pPr>
      <w:r w:rsidRPr="00504B5F">
        <w:rPr>
          <w:b/>
          <w:bCs/>
        </w:rPr>
        <w:t>General Acceptance Criteria for All Models</w:t>
      </w:r>
    </w:p>
    <w:p w14:paraId="4836A8FD" w14:textId="77777777" w:rsidR="00FF4C89" w:rsidRPr="00504B5F" w:rsidRDefault="00FF4C89" w:rsidP="00FF4C89">
      <w:pPr>
        <w:numPr>
          <w:ilvl w:val="0"/>
          <w:numId w:val="3"/>
        </w:numPr>
      </w:pPr>
      <w:r w:rsidRPr="00504B5F">
        <w:rPr>
          <w:b/>
          <w:bCs/>
        </w:rPr>
        <w:t>Documentation:</w:t>
      </w:r>
    </w:p>
    <w:p w14:paraId="73FDDCD4" w14:textId="77777777" w:rsidR="00FF4C89" w:rsidRPr="00504B5F" w:rsidRDefault="00FF4C89" w:rsidP="00FF4C89">
      <w:pPr>
        <w:numPr>
          <w:ilvl w:val="1"/>
          <w:numId w:val="3"/>
        </w:numPr>
      </w:pPr>
      <w:r w:rsidRPr="00504B5F">
        <w:t xml:space="preserve">Comprehensive </w:t>
      </w:r>
      <w:r>
        <w:t>model development documentation</w:t>
      </w:r>
      <w:r w:rsidRPr="00504B5F">
        <w:t>, including data sources, methodology, assumptions, and validation results.</w:t>
      </w:r>
    </w:p>
    <w:p w14:paraId="6D0DB8EF" w14:textId="77777777" w:rsidR="00FF4C89" w:rsidRPr="00504B5F" w:rsidRDefault="00FF4C89" w:rsidP="00FF4C89">
      <w:pPr>
        <w:numPr>
          <w:ilvl w:val="0"/>
          <w:numId w:val="3"/>
        </w:numPr>
      </w:pPr>
      <w:r w:rsidRPr="00504B5F">
        <w:rPr>
          <w:b/>
          <w:bCs/>
        </w:rPr>
        <w:t>Governance:</w:t>
      </w:r>
    </w:p>
    <w:p w14:paraId="427C95D8" w14:textId="77777777" w:rsidR="00FF4C89" w:rsidRPr="00504B5F" w:rsidRDefault="00FF4C89" w:rsidP="00FF4C89">
      <w:pPr>
        <w:numPr>
          <w:ilvl w:val="1"/>
          <w:numId w:val="3"/>
        </w:numPr>
      </w:pPr>
      <w:r w:rsidRPr="00504B5F">
        <w:t>Independent validation by a separate risk management or audit function.</w:t>
      </w:r>
    </w:p>
    <w:p w14:paraId="408D6466" w14:textId="77777777" w:rsidR="00FF4C89" w:rsidRPr="00504B5F" w:rsidRDefault="00FF4C89" w:rsidP="00FF4C89">
      <w:pPr>
        <w:numPr>
          <w:ilvl w:val="1"/>
          <w:numId w:val="3"/>
        </w:numPr>
      </w:pPr>
      <w:r w:rsidRPr="00504B5F">
        <w:lastRenderedPageBreak/>
        <w:t>Periodic reviews and updates to ensure the model remains relevant and accurate.</w:t>
      </w:r>
    </w:p>
    <w:p w14:paraId="0B516A3C" w14:textId="77777777" w:rsidR="00FF4C89" w:rsidRPr="00504B5F" w:rsidRDefault="00FF4C89" w:rsidP="00FF4C89">
      <w:pPr>
        <w:numPr>
          <w:ilvl w:val="0"/>
          <w:numId w:val="3"/>
        </w:numPr>
      </w:pPr>
      <w:r w:rsidRPr="00504B5F">
        <w:rPr>
          <w:b/>
          <w:bCs/>
        </w:rPr>
        <w:t>Transparency:</w:t>
      </w:r>
    </w:p>
    <w:p w14:paraId="4D6536B8" w14:textId="77777777" w:rsidR="00FF4C89" w:rsidRPr="00504B5F" w:rsidRDefault="00FF4C89" w:rsidP="00FF4C89">
      <w:pPr>
        <w:numPr>
          <w:ilvl w:val="1"/>
          <w:numId w:val="3"/>
        </w:numPr>
      </w:pPr>
      <w:r w:rsidRPr="00504B5F">
        <w:t>Clear explanation of the model’s mechanics, assumptions, and limitations.</w:t>
      </w:r>
    </w:p>
    <w:p w14:paraId="3EF11027" w14:textId="77777777" w:rsidR="00FF4C89" w:rsidRPr="00504B5F" w:rsidRDefault="00FF4C89" w:rsidP="00FF4C89">
      <w:pPr>
        <w:numPr>
          <w:ilvl w:val="0"/>
          <w:numId w:val="3"/>
        </w:numPr>
      </w:pPr>
      <w:r w:rsidRPr="00504B5F">
        <w:rPr>
          <w:b/>
          <w:bCs/>
        </w:rPr>
        <w:t>Management Approval:</w:t>
      </w:r>
    </w:p>
    <w:p w14:paraId="410583CE" w14:textId="77777777" w:rsidR="00FF4C89" w:rsidRPr="00504B5F" w:rsidRDefault="00FF4C89" w:rsidP="00FF4C89">
      <w:pPr>
        <w:numPr>
          <w:ilvl w:val="1"/>
          <w:numId w:val="3"/>
        </w:numPr>
      </w:pPr>
      <w:r w:rsidRPr="00504B5F">
        <w:t>Approval by senior management and, where applicable, the board of directors.</w:t>
      </w:r>
    </w:p>
    <w:p w14:paraId="35BD8EDD" w14:textId="77777777" w:rsidR="00FF4C89" w:rsidRDefault="00FF4C89"/>
    <w:sectPr w:rsidR="00FF4C8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C5E86" w14:textId="77777777" w:rsidR="004A7279" w:rsidRDefault="004A7279" w:rsidP="00FF4C89">
      <w:pPr>
        <w:spacing w:after="0" w:line="240" w:lineRule="auto"/>
      </w:pPr>
      <w:r>
        <w:separator/>
      </w:r>
    </w:p>
  </w:endnote>
  <w:endnote w:type="continuationSeparator" w:id="0">
    <w:p w14:paraId="5C68F581" w14:textId="77777777" w:rsidR="004A7279" w:rsidRDefault="004A7279" w:rsidP="00FF4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7255267"/>
      <w:docPartObj>
        <w:docPartGallery w:val="Page Numbers (Bottom of Page)"/>
        <w:docPartUnique/>
      </w:docPartObj>
    </w:sdtPr>
    <w:sdtEndPr>
      <w:rPr>
        <w:noProof/>
      </w:rPr>
    </w:sdtEndPr>
    <w:sdtContent>
      <w:p w14:paraId="58AF0697" w14:textId="1AE40518" w:rsidR="00FF4C89" w:rsidRDefault="00FF4C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A9528E" w14:textId="77777777" w:rsidR="00FF4C89" w:rsidRDefault="00FF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C36FB" w14:textId="77777777" w:rsidR="004A7279" w:rsidRDefault="004A7279" w:rsidP="00FF4C89">
      <w:pPr>
        <w:spacing w:after="0" w:line="240" w:lineRule="auto"/>
      </w:pPr>
      <w:r>
        <w:separator/>
      </w:r>
    </w:p>
  </w:footnote>
  <w:footnote w:type="continuationSeparator" w:id="0">
    <w:p w14:paraId="60F7A9C6" w14:textId="77777777" w:rsidR="004A7279" w:rsidRDefault="004A7279" w:rsidP="00FF4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E4C1D"/>
    <w:multiLevelType w:val="multilevel"/>
    <w:tmpl w:val="7990E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642FF"/>
    <w:multiLevelType w:val="multilevel"/>
    <w:tmpl w:val="FE7C8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63A1C"/>
    <w:multiLevelType w:val="multilevel"/>
    <w:tmpl w:val="1C9CE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829079">
    <w:abstractNumId w:val="0"/>
  </w:num>
  <w:num w:numId="2" w16cid:durableId="424232748">
    <w:abstractNumId w:val="1"/>
  </w:num>
  <w:num w:numId="3" w16cid:durableId="1640959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89"/>
    <w:rsid w:val="002D6AEB"/>
    <w:rsid w:val="004A7279"/>
    <w:rsid w:val="00FF4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53175"/>
  <w15:chartTrackingRefBased/>
  <w15:docId w15:val="{A3633285-2872-4E78-8F82-357D6EF9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C89"/>
  </w:style>
  <w:style w:type="paragraph" w:styleId="Heading1">
    <w:name w:val="heading 1"/>
    <w:basedOn w:val="Normal"/>
    <w:next w:val="Normal"/>
    <w:link w:val="Heading1Char"/>
    <w:uiPriority w:val="9"/>
    <w:qFormat/>
    <w:rsid w:val="00FF4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C89"/>
    <w:rPr>
      <w:rFonts w:eastAsiaTheme="majorEastAsia" w:cstheme="majorBidi"/>
      <w:color w:val="272727" w:themeColor="text1" w:themeTint="D8"/>
    </w:rPr>
  </w:style>
  <w:style w:type="paragraph" w:styleId="Title">
    <w:name w:val="Title"/>
    <w:basedOn w:val="Normal"/>
    <w:next w:val="Normal"/>
    <w:link w:val="TitleChar"/>
    <w:uiPriority w:val="10"/>
    <w:qFormat/>
    <w:rsid w:val="00FF4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C89"/>
    <w:pPr>
      <w:spacing w:before="160"/>
      <w:jc w:val="center"/>
    </w:pPr>
    <w:rPr>
      <w:i/>
      <w:iCs/>
      <w:color w:val="404040" w:themeColor="text1" w:themeTint="BF"/>
    </w:rPr>
  </w:style>
  <w:style w:type="character" w:customStyle="1" w:styleId="QuoteChar">
    <w:name w:val="Quote Char"/>
    <w:basedOn w:val="DefaultParagraphFont"/>
    <w:link w:val="Quote"/>
    <w:uiPriority w:val="29"/>
    <w:rsid w:val="00FF4C89"/>
    <w:rPr>
      <w:i/>
      <w:iCs/>
      <w:color w:val="404040" w:themeColor="text1" w:themeTint="BF"/>
    </w:rPr>
  </w:style>
  <w:style w:type="paragraph" w:styleId="ListParagraph">
    <w:name w:val="List Paragraph"/>
    <w:basedOn w:val="Normal"/>
    <w:uiPriority w:val="34"/>
    <w:qFormat/>
    <w:rsid w:val="00FF4C89"/>
    <w:pPr>
      <w:ind w:left="720"/>
      <w:contextualSpacing/>
    </w:pPr>
  </w:style>
  <w:style w:type="character" w:styleId="IntenseEmphasis">
    <w:name w:val="Intense Emphasis"/>
    <w:basedOn w:val="DefaultParagraphFont"/>
    <w:uiPriority w:val="21"/>
    <w:qFormat/>
    <w:rsid w:val="00FF4C89"/>
    <w:rPr>
      <w:i/>
      <w:iCs/>
      <w:color w:val="0F4761" w:themeColor="accent1" w:themeShade="BF"/>
    </w:rPr>
  </w:style>
  <w:style w:type="paragraph" w:styleId="IntenseQuote">
    <w:name w:val="Intense Quote"/>
    <w:basedOn w:val="Normal"/>
    <w:next w:val="Normal"/>
    <w:link w:val="IntenseQuoteChar"/>
    <w:uiPriority w:val="30"/>
    <w:qFormat/>
    <w:rsid w:val="00FF4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C89"/>
    <w:rPr>
      <w:i/>
      <w:iCs/>
      <w:color w:val="0F4761" w:themeColor="accent1" w:themeShade="BF"/>
    </w:rPr>
  </w:style>
  <w:style w:type="character" w:styleId="IntenseReference">
    <w:name w:val="Intense Reference"/>
    <w:basedOn w:val="DefaultParagraphFont"/>
    <w:uiPriority w:val="32"/>
    <w:qFormat/>
    <w:rsid w:val="00FF4C89"/>
    <w:rPr>
      <w:b/>
      <w:bCs/>
      <w:smallCaps/>
      <w:color w:val="0F4761" w:themeColor="accent1" w:themeShade="BF"/>
      <w:spacing w:val="5"/>
    </w:rPr>
  </w:style>
  <w:style w:type="paragraph" w:styleId="Header">
    <w:name w:val="header"/>
    <w:basedOn w:val="Normal"/>
    <w:link w:val="HeaderChar"/>
    <w:uiPriority w:val="99"/>
    <w:unhideWhenUsed/>
    <w:rsid w:val="00FF4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C89"/>
  </w:style>
  <w:style w:type="paragraph" w:styleId="Footer">
    <w:name w:val="footer"/>
    <w:basedOn w:val="Normal"/>
    <w:link w:val="FooterChar"/>
    <w:uiPriority w:val="99"/>
    <w:unhideWhenUsed/>
    <w:rsid w:val="00FF4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480</Words>
  <Characters>2836</Characters>
  <Application>Microsoft Office Word</Application>
  <DocSecurity>0</DocSecurity>
  <Lines>65</Lines>
  <Paragraphs>46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Kumar</dc:creator>
  <cp:keywords/>
  <dc:description/>
  <cp:lastModifiedBy>Rishi Kumar</cp:lastModifiedBy>
  <cp:revision>1</cp:revision>
  <dcterms:created xsi:type="dcterms:W3CDTF">2024-07-18T07:58:00Z</dcterms:created>
  <dcterms:modified xsi:type="dcterms:W3CDTF">2024-07-18T08:00:00Z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c7d49cdc-b87a-4986-8d92-3a1aa19f5b97</vt:lpwstr>
  </property>
</Properties>
</file>