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60"/>
        <w:jc w:val="center"/>
      </w:pPr>
      <w:r>
        <w:rPr>
          <w:sz w:val="20"/>
          <w:szCs w:val="20"/>
        </w:rPr>
        <w:t xml:space="preserve">August 2026</w:t>
      </w:r>
    </w:p>
    <w:p>
      <w:pPr>
        <w:spacing w:after="60"/>
        <w:jc w:val="center"/>
      </w:pPr>
      <w:r>
        <w:rPr>
          <w:sz w:val="19"/>
          <w:szCs w:val="19"/>
        </w:rPr>
        <w:t xml:space="preserve">Preprint, version 1.0</w:t>
      </w:r>
    </w:p>
    <w:p>
      <w:pPr>
        <w:spacing w:after="300"/>
        <w:jc w:val="center"/>
      </w:pPr>
      <w:r>
        <w:rPr>
          <w:sz w:val="19"/>
          <w:szCs w:val="19"/>
        </w:rPr>
        <w:t xml:space="preserve">https://doi.org/10.5281/zenodo.21955709</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Reported accuracy is therefore sensitive to how the classes are defined and to when the resampling is done. That makes it hard to compare numbers across studies when those choices are not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personality traits, particularly the distinction between introversion and extroversion, for decades because of their obvious presence in our daily lives [1, 2]. For example,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like the NEO Personality Inventory [4] or Myers-Briggs Type Indicator, MBTI [5], and shorter self-report measures [6] to assess personality traits. These assessments rely on people reflecting on and describing themselves, but the difference between introverts and extroverts is also thought to show up in their everyday behavior.</w:t>
      </w:r>
    </w:p>
    <w:p>
      <w:pPr>
        <w:spacing w:after="160" w:line="276"/>
        <w:jc w:val="both"/>
      </w:pPr>
      <w:r>
        <w:rPr>
          <w:sz w:val="21"/>
          <w:szCs w:val="21"/>
        </w:rPr>
        <w:t xml:space="preserve">More recently, researchers have shown that personality is reflected in behavior and digital records, not only in questionnaires. Private traits have been predicted from social media activity [7], computer models have judged personality more accurately than a person’s own friends [8], and such patterns have even been used to target persuasive messages [9]. This work suggests that introverts and extroverts behave differently in measurable ways, although it has often relied on large and very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self-reported data report very different accuracies. Fieri et al. [13] report 73.5% and 95.5% for the same dataset, depending on how the data were prepared before training. So [12] reports 73.81% on the same questionnaire. Numbers like these often get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w:t>
      </w:r>
    </w:p>
    <w:p>
      <w:pPr>
        <w:spacing w:after="120" w:before="220"/>
      </w:pPr>
      <w:r>
        <w:rPr>
          <w:b/>
          <w:bCs/>
          <w:sz w:val="22"/>
          <w:szCs w:val="22"/>
        </w:rPr>
        <w:t xml:space="preserve">C. What This Paper Adds</w:t>
      </w:r>
    </w:p>
    <w:p>
      <w:pPr>
        <w:spacing w:after="160" w:line="276"/>
        <w:jc w:val="both"/>
      </w:pPr>
      <w:r>
        <w:rPr>
          <w:sz w:val="21"/>
          <w:szCs w:val="21"/>
        </w:rPr>
        <w:t xml:space="preserve">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Four things follow from setting it up that way:</w:t>
      </w:r>
    </w:p>
    <w:p>
      <w:pPr>
        <w:pStyle w:val="ListParagraph"/>
        <w:numPr>
          <w:ilvl w:val="0"/>
          <w:numId w:val="1"/>
        </w:numPr>
        <w:spacing w:after="90" w:line="276"/>
        <w:jc w:val="both"/>
      </w:pPr>
      <w:r>
        <w:rPr>
          <w:sz w:val="21"/>
          <w:szCs w:val="21"/>
        </w:rPr>
        <w:t xml:space="preserve">A controlled comparison where each of the four decisions is tested on its own, with everything else held fixed, so any difference has to come from that decision.</w:t>
      </w:r>
    </w:p>
    <w:p>
      <w:pPr>
        <w:pStyle w:val="ListParagraph"/>
        <w:numPr>
          <w:ilvl w:val="0"/>
          <w:numId w:val="1"/>
        </w:numPr>
        <w:spacing w:after="90" w:line="276"/>
        <w:jc w:val="both"/>
      </w:pPr>
      <w:r>
        <w:rPr>
          <w:sz w:val="21"/>
          <w:szCs w:val="21"/>
        </w:rPr>
        <w:t xml:space="preserve">Effect sizes in percentage points of balanced accuracy, with 95% intervals, measured across 50 fits per condition instead of one split.</w:t>
      </w:r>
    </w:p>
    <w:p>
      <w:pPr>
        <w:pStyle w:val="ListParagraph"/>
        <w:numPr>
          <w:ilvl w:val="0"/>
          <w:numId w:val="1"/>
        </w:numPr>
        <w:spacing w:after="90" w:line="276"/>
        <w:jc w:val="both"/>
      </w:pPr>
      <w:r>
        <w:rPr>
          <w:sz w:val="21"/>
          <w:szCs w:val="21"/>
        </w:rPr>
        <w:t xml:space="preserve">A reproduction of two published three-class results on the same questionnaire, which points to the class-structure decision as the source of most of the spread in the published numbers.</w:t>
      </w:r>
    </w:p>
    <w:p>
      <w:pPr>
        <w:pStyle w:val="ListParagraph"/>
        <w:numPr>
          <w:ilvl w:val="0"/>
          <w:numId w:val="1"/>
        </w:numPr>
        <w:spacing w:after="90" w:line="276"/>
        <w:jc w:val="both"/>
      </w:pPr>
      <w:r>
        <w:rPr>
          <w:sz w:val="21"/>
          <w:szCs w:val="21"/>
        </w:rPr>
        <w:t xml:space="preserve">A measurement of how much the questions in each dataset overlap, which helps explain why one of the four decisions does nothing measurable while a similar-looking one moves accuracy about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and deriving one from the extraversion items would make any prediction from those same items circular, so this dataset is never used for classification. Its ten extraversion items serve only as a reference point for how much the questions of an established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All personality labels were set to 0 for introvert (including “Int”)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w:t>
      </w:r>
    </w:p>
    <w:p>
      <w:pPr>
        <w:spacing w:after="160" w:line="276"/>
        <w:jc w:val="both"/>
      </w:pPr>
      <w:r>
        <w:rPr>
          <w:sz w:val="21"/>
          <w:szCs w:val="21"/>
        </w:rPr>
        <w:t xml:space="preserve">For MIES, a response of 0 marks a skipped question, and not a rating, and is treated as missing. Missing values are filled with the median from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[21] with 100 trees, a logistic regression with L2 regularization and the lbfgs solver, and an XGBoost model [19] with a max depth of 3 and 100 trees. All code used random_state = 42 so that the results could be repeated.</w:t>
      </w:r>
    </w:p>
    <w:p>
      <w:pPr>
        <w:spacing w:after="160" w:line="276"/>
        <w:jc w:val="both"/>
      </w:pPr>
      <w:r>
        <w:rPr>
          <w:sz w:val="21"/>
          <w:szCs w:val="21"/>
        </w:rPr>
        <w:t xml:space="preserve">Every preprocessing step runs inside a scikit-learn [18] pipeline, so imputation and scaling are fitted on training data only.</w:t>
      </w:r>
    </w:p>
    <w:p>
      <w:pPr>
        <w:spacing w:after="120" w:before="220"/>
      </w:pPr>
      <w:r>
        <w:rPr>
          <w:b/>
          <w:bCs/>
          <w:sz w:val="22"/>
          <w:szCs w:val="22"/>
        </w:rPr>
        <w:t xml:space="preserve">B. Evaluation</w:t>
      </w:r>
    </w:p>
    <w:p>
      <w:pPr>
        <w:spacing w:after="160" w:line="276"/>
        <w:jc w:val="both"/>
      </w:pPr>
      <w:r>
        <w:rPr>
          <w:sz w:val="21"/>
          <w:szCs w:val="21"/>
        </w:rPr>
        <w:t xml:space="preserve">For the baseline results in Table 1, the data were split in an 80/20 ratio between training and testing sets, with equal numbers of introverts and extroverts maintained through stratification.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Introverts make up 61.5% of the three-class data, so a lazy model that answers “introvert” every time scores 61.5% raw accuracy without having learned anything. That number is called the no-information rate. It is the score a model gets for free by always guessing the largest class. Balanced accuracy scores each class separately and then averages them, so the same lazy model would score 33%. Where results here are placed next to published figures, both sides use raw accuracy,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 In three of the four pairs, the first arm uses the whole dataset for a step that should be confined to the training data, and the second arm confines it correctly.</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or neither) against two classes, with the neither group removed. This one changes the prediction task and the population being classified, not only the order of the steps.</w:t>
      </w:r>
    </w:p>
    <w:p>
      <w:pPr>
        <w:pStyle w:val="ListParagraph"/>
        <w:numPr>
          <w:ilvl w:val="0"/>
          <w:numId w:val="1"/>
        </w:numPr>
        <w:spacing w:after="90" w:line="276"/>
        <w:jc w:val="both"/>
      </w:pPr>
      <w:r>
        <w:rPr>
          <w:b/>
          <w:bCs/>
          <w:sz w:val="21"/>
          <w:szCs w:val="21"/>
        </w:rPr>
        <w:t xml:space="preserve">Resampling order. </w:t>
      </w:r>
      <w:r>
        <w:rPr>
          <w:sz w:val="21"/>
          <w:szCs w:val="21"/>
        </w:rPr>
        <w:t xml:space="preserve">SMOTE [16] applied to the entire dataset before cross-validation, against SMOTE applied inside each training fold through an imbalanced-learn [20] pipeline. SMOTE makes a new minority-class row by taking a real one, picking one of its five closest minority neighbors, and putting a new point somewhere on the line between them. Five neighbors is the default and both arms use it, so the only difference is when the new rows get made.</w:t>
      </w:r>
    </w:p>
    <w:p>
      <w:pPr>
        <w:pStyle w:val="ListParagraph"/>
        <w:numPr>
          <w:ilvl w:val="0"/>
          <w:numId w:val="1"/>
        </w:numPr>
        <w:spacing w:after="90" w:line="276"/>
        <w:jc w:val="both"/>
      </w:pPr>
      <w:r>
        <w:rPr>
          <w:b/>
          <w:bCs/>
          <w:sz w:val="21"/>
          <w:szCs w:val="21"/>
        </w:rPr>
        <w:t xml:space="preserve">Duplicate rows. </w:t>
      </w:r>
      <w:r>
        <w:rPr>
          <w:sz w:val="21"/>
          <w:szCs w:val="21"/>
        </w:rPr>
        <w:t xml:space="preserve">The 486 exact duplicate rows kept in one arm and removed in the other, on the Kaggle dataset.</w:t>
      </w:r>
    </w:p>
    <w:p>
      <w:pPr>
        <w:pStyle w:val="ListParagraph"/>
        <w:numPr>
          <w:ilvl w:val="0"/>
          <w:numId w:val="1"/>
        </w:numPr>
        <w:spacing w:after="90" w:line="276"/>
        <w:jc w:val="both"/>
      </w:pPr>
      <w:r>
        <w:rPr>
          <w:b/>
          <w:bCs/>
          <w:sz w:val="21"/>
          <w:szCs w:val="21"/>
        </w:rPr>
        <w:t xml:space="preserve">Feature selection order. </w:t>
      </w:r>
      <w:r>
        <w:rPr>
          <w:sz w:val="21"/>
          <w:szCs w:val="21"/>
        </w:rPr>
        <w:t xml:space="preserve">The 15 items with the highest ANOVA F-score chosen from the entire dataset before cross-validation, against the same selection repeated from scratch inside each training fold. The F-score ranks each item by how far apart the class averages are relative to the spread within each class, so a high-scoring item is one that separates the groups cleanly on its own.</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all folds are stratified. Imputation, scaling, resampling, and feature selection run inside the pipeline so that they are fitted on training folds only, except where a condition deliberately does otherwise in order to measure the effect, and missing MIES responses are imputed with the training-fold median. Every table in this paper is produced by a named script in the repository listed under Code and Data Availability.</w:t>
      </w:r>
    </w:p>
    <w:p>
      <w:pPr>
        <w:spacing w:after="140" w:before="320"/>
      </w:pPr>
      <w:r>
        <w:rPr>
          <w:b/>
          <w:bCs/>
          <w:sz w:val="26"/>
          <w:szCs w:val="26"/>
        </w:rPr>
        <w:t xml:space="preserve">V. Results and Analysis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28625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638425"/>
                    </a:xfrm>
                    <a:prstGeom prst="rect">
                      <a:avLst/>
                    </a:prstGeom>
                  </pic:spPr>
                </pic:pic>
              </a:graphicData>
            </a:graphic>
          </wp:inline>
        </w:drawing>
      </w:r>
    </w:p>
    <w:p>
      <w:pPr>
        <w:spacing w:after="240"/>
        <w:jc w:val="center"/>
      </w:pPr>
      <w:r>
        <w:rPr>
          <w:sz w:val="18"/>
          <w:szCs w:val="18"/>
        </w:rPr>
        <w:t xml:space="preserve">Figure 1: Effect of each condition for all three models, with 95% intervals. The selection-order intervals cross zero and the others do not. Logistic regression gains far less from resampling before the split than the two tree models do.</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Dropping the neither group converts a three-class problem into a two-class problem and removes the respondents whose self-description is least definite. Accuracy rises partly because the population that remains is easier to separate. A two-class problem is a reasonable thing to study, but a two-class result and a three-class result answer different questions and cannot be placed side by side.</w:t>
      </w:r>
    </w:p>
    <w:p>
      <w:pPr>
        <w:spacing w:after="160" w:line="276"/>
        <w:jc w:val="both"/>
      </w:pPr>
      <w:r>
        <w:rPr>
          <w:sz w:val="21"/>
          <w:szCs w:val="21"/>
        </w:rPr>
        <w:t xml:space="preserve">My three-class results, at 0.728 to 0.736 raw accuracy, come out close to two published studies that used the same questionnaire: So [12] reports 73.81% and Fieri et al. [13] report 73.5% before resampling. Fieri et al. list class counts of 4,404, 989, and 1,768, which are all three groups. So reports a no-information rate of 61.51%, and the largest class in the three-class version of this data accounts for 61.48% of it, against 81.6% in the two-class version, so that study was almost certainly working with three classes as well.</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reason for this is fairly simple.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The model also has to be flexible enough to fit the extra rows.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 The change I measure from ordering alone is close in size to the change they report.</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Choosing features on the whole dataset can only leak something if the choice itself tells you something. If the questions in a dataset all measure close to the same thing, then almost any subset of them holds almost the same information, and it stops mattering whether that subset was picked using the test rows or without them. The measurements below suggest that is what is going on here.</w:t>
      </w:r>
    </w:p>
    <w:p>
      <w:pPr>
        <w:spacing w:after="160" w:line="276"/>
        <w:jc w:val="both"/>
      </w:pPr>
      <w:r>
        <w:rPr>
          <w:sz w:val="21"/>
          <w:szCs w:val="21"/>
        </w:rPr>
        <w:t xml:space="preserve">Table 3 reports how strongly the items within each set move together, using the absolute correlation between every pair of items. A 0 means two questions tell you unrelated things about a person and a 1 means they tell you the same thing twice. A set with a high average is one where the questions are more or less interchangeable and less useful.</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The seven Kaggle behaviors average 0.784, roughly four times the MIES average of 0.196. The clearest way to see this is at the edges of the range. The least related pair of the seven behaviors correlates at 0.69, which is higher than the most related pair in the BIG5 extraversion scale at 0.631. That scale was written on purpose to measure one trait through ten differently worded items, so it is a fair upper reference point for how much a deliberately repetitive set of questions should overlap. The seven behaviors are above it. Asking about time alone, social events, going outside, friends, posting, stage fright, and feeling drained is closer to asking one question seven times than to asking seven different questions.</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The same pattern appears when items are removed rather than counted. All three models rank stage fright as their most important item on the Kaggle dataset, ranked by SHAP [17], and removing it changes balanced accuracy by less than half a point for every one of them. Accuracy also stays flat as items are dropped one at a time, from seven questions down to two. If the last two do about as well as all seven, then the choice of questions carries very little information, which is what the null result in Section F would predict.</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It means these choices cannot all be treated as minor details of method.</w:t>
      </w:r>
    </w:p>
    <w:p>
      <w:pPr>
        <w:spacing w:after="160" w:line="276"/>
        <w:jc w:val="both"/>
      </w:pPr>
      <w:r>
        <w:rPr>
          <w:sz w:val="21"/>
          <w:szCs w:val="21"/>
        </w:rPr>
        <w:t xml:space="preserve">The class-structure result is the one most likely to be misread. Dropping ambiverts is a legitimate choice, but two-class and three-class results answer different questions, and the gap between them is large enough to account for most of the range seen in published work on this instrument.</w:t>
      </w:r>
    </w:p>
    <w:p>
      <w:pPr>
        <w:spacing w:after="160" w:line="276"/>
        <w:jc w:val="both"/>
      </w:pPr>
      <w:r>
        <w:rPr>
          <w:sz w:val="21"/>
          <w:szCs w:val="21"/>
        </w:rPr>
        <w:t xml:space="preserve">A study that resampled before splitting on balanced data with a linear model would see almost nothing from it, and might reasonably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The data came from self-reported answers only, so people may not remember or report their habits perfectly, and both samples were collected online from respondents who chose to take part.</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measurements offer a plausible reason for the null selection-order result but do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Two of them move balanced accuracy by roughly 20 points, one moves it by about a point, and one does nothing measurable.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three datasets are publicly available from their original sources [10, 14, 15] and are not redistributed here; the repository documents where to download each one and how to prepare it.</w:t>
      </w:r>
    </w:p>
    <w:p>
      <w:pPr>
        <w:spacing w:after="140" w:before="320"/>
      </w:pPr>
      <w:r>
        <w:rPr>
          <w:b/>
          <w:bCs/>
          <w:sz w:val="26"/>
          <w:szCs w:val="26"/>
        </w:rPr>
        <w:t xml:space="preserve">Ethics Statement</w:t>
      </w:r>
    </w:p>
    <w:p>
      <w:pPr>
        <w:spacing w:after="160" w:line="276"/>
        <w:jc w:val="both"/>
      </w:pPr>
      <w:r>
        <w:rPr>
          <w:sz w:val="21"/>
          <w:szCs w:val="21"/>
        </w:rPr>
        <w:t xml:space="preserve">This work analyzes survey data that was collected and anonymized by others before the study began. No new human-subject data were collected, and no personally identifying information was accessed or redistributed.</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 doi: 10.1016/S0092-6566(03)00046-1.</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 doi: 10.1073/pnas.1218772110.</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 doi: 10.1073/pnas.1418680112.</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 doi: 10.1073/pnas.1710966114.</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 doi: 10.1016/j.patter.2023.100804.</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Fukuoka, Japan, 2020, pp. 693-696, doi: 10.1109/ICAIIC48513.2020.9065069.</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2154-2160, 2023, doi: 10.62527/joiv.7.4.1019.</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 doi: 10.1613/jair.953.</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p>
      <w:pPr>
        <w:spacing w:after="70"/>
        <w:ind w:left="340" w:hanging="340"/>
      </w:pPr>
      <w:r>
        <w:rPr>
          <w:sz w:val="19"/>
          <w:szCs w:val="19"/>
        </w:rPr>
        <w:t xml:space="preserve">[21] L. Breiman, "Random forests," Machine Learning, vol. 45, no. 1, pp. 5-32, 2001, doi: 10.1023/A:1010933404324.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b9cc927efd9333641fb2c13a991e5e172193d7.png"/><Relationship Id="rId9" Type="http://schemas.openxmlformats.org/officeDocument/2006/relationships/image" Target="media/0ee18d46a813de04768fe93a04631071073bfd7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2026-08-16T01:43:49.535Z</dcterms:created>
  <dcterms:modified xsi:type="dcterms:W3CDTF">2026-08-16T01:43:49.535Z</dcterms:modified>
</cp:coreProperties>
</file>

<file path=docProps/custom.xml><?xml version="1.0" encoding="utf-8"?>
<Properties xmlns="http://schemas.openxmlformats.org/officeDocument/2006/custom-properties" xmlns:vt="http://schemas.openxmlformats.org/officeDocument/2006/docPropsVTypes"/>
</file>