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performance on this task is therefore sensitive to class definition and resampling order, which makes comparison across studies difficult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in which each of the four decisions is isolated, with everything else about the setup held fixed, so that any difference is attributable to the decision alone.</w:t>
      </w:r>
    </w:p>
    <w:p>
      <w:pPr>
        <w:pStyle w:val="ListParagraph"/>
        <w:numPr>
          <w:ilvl w:val="0"/>
          <w:numId w:val="1"/>
        </w:numPr>
        <w:spacing w:after="90" w:line="276"/>
        <w:jc w:val="both"/>
      </w:pPr>
      <w:r>
        <w:rPr>
          <w:sz w:val="21"/>
          <w:szCs w:val="21"/>
        </w:rPr>
        <w:t xml:space="preserve">Effect sizes reported in percentage points of balanced accuracy with 95% intervals, measured across 50 fits per condition rather than a single split.</w:t>
      </w:r>
    </w:p>
    <w:p>
      <w:pPr>
        <w:pStyle w:val="ListParagraph"/>
        <w:numPr>
          <w:ilvl w:val="0"/>
          <w:numId w:val="1"/>
        </w:numPr>
        <w:spacing w:after="90" w:line="276"/>
        <w:jc w:val="both"/>
      </w:pPr>
      <w:r>
        <w:rPr>
          <w:sz w:val="21"/>
          <w:szCs w:val="21"/>
        </w:rPr>
        <w:t xml:space="preserve">A reproduction of two published three-class results on the same instrument, which locates the class-structure decision as the source of most of the spread in the published literature.</w:t>
      </w:r>
    </w:p>
    <w:p>
      <w:pPr>
        <w:pStyle w:val="ListParagraph"/>
        <w:numPr>
          <w:ilvl w:val="0"/>
          <w:numId w:val="1"/>
        </w:numPr>
        <w:spacing w:after="90" w:line="276"/>
        <w:jc w:val="both"/>
      </w:pPr>
      <w:r>
        <w:rPr>
          <w:sz w:val="21"/>
          <w:szCs w:val="21"/>
        </w:rPr>
        <w:t xml:space="preserve">An item-overlap analysis of both datasets, offering an explanation for why one of the four decisions produces no measurable effect while a superficially similar one produces roughly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 Fitting them on the full dataset first would be a small version of the leakage this paper measures.</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model that answers “introvert” every time scores 61.5% raw accuracy without having learned anything. That figure has a name: the no-information rate, the score a classifier gets for free by always naming the largest class. Balanced accuracy scores each class separately and then averages them, so the same do-nothing model scores 33%. Where results here sit beside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builds a new minority-class row by taking a real minority row, picking one of its five closest minority neighbors, and placing a new point at a random spot on the line between them. Five neighbors is the default and is used in both arms, so the only thing that differs is when the new rows are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land close to two published studies using the same instrument: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change I measure from ordering alone is close in size to the change they report.</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carries information. If the questions in a dataset all measure close to the same thing, then almost any subset of them carries almost the same information, and it stops mattering whether that subset was picked using the test rows or without them. The measurements below suggest that is the situation here.</w:t>
      </w:r>
    </w:p>
    <w:p>
      <w:pPr>
        <w:spacing w:after="160" w:line="276"/>
        <w:jc w:val="both"/>
      </w:pPr>
      <w:r>
        <w:rPr>
          <w:sz w:val="21"/>
          <w:szCs w:val="21"/>
        </w:rPr>
        <w:t xml:space="preserve">Table 3 reports how strongly the items within each set move together. The measure is the absolute correlation between every pair of items in a set, where 0 means two questions tell you unrelated things about a person and 1 means they tell you the same thing twice. A set with a high average is one where the questions are close to interchangeable.</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sharpest way to see it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sit above it, which means asking about time alone, social events, going outside, friends, posting, stage fright, and feeling drained is closer to asking one question seven times than to asking seven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Two further results follow from that. The first is that removing the single most important item barely changes anything. Importance here is measured with SHAP [17], a method that divides the credit for a model’s predictions among its features, so the top-ranked item is the one the model leans on hardest. All three models rank stage fright first on the Kaggle dataset, and removing it changes balanced accuracy by -0.005 for the random forest, +0.002 for logistic regression, and +0.004 for XGBoost. Two of the three do slightly better without the feature they depend on most.</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60" w:line="276"/>
        <w:jc w:val="both"/>
      </w:pPr>
      <w:r>
        <w:rPr>
          <w:sz w:val="21"/>
          <w:szCs w:val="21"/>
        </w:rPr>
        <w:t xml:space="preserve">The second is that the ablation curve in Figure 3 stays flat as items are dropped one at a time, holding steady from seven questions down to two. A dataset where the last two questions perform about as well as all seven is a dataset where the choice of questions carries little information, which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 Any paper reporting accuracy for this task should state its class structure somewhere a reader will see it.</w:t>
      </w:r>
    </w:p>
    <w:p>
      <w:pPr>
        <w:spacing w:after="160" w:line="276"/>
        <w:jc w:val="both"/>
      </w:pPr>
      <w:r>
        <w:rPr>
          <w:sz w:val="21"/>
          <w:szCs w:val="21"/>
        </w:rPr>
        <w:t xml:space="preserve">The resampling effect depends on conditions that are easy to overlook. It needs class imbalance, and it needs a model flexible enough to exploit the extra rows, so a study that resampled before splitting on balanced data with a linear model would see almost nothing and might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b267b738e695ae0d0dae5e406ca443a08a0d2.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2026-08-15T20:45:46.427Z</dcterms:created>
  <dcterms:modified xsi:type="dcterms:W3CDTF">2026-08-15T20:45:46.427Z</dcterms:modified>
</cp:coreProperties>
</file>

<file path=docProps/custom.xml><?xml version="1.0" encoding="utf-8"?>
<Properties xmlns="http://schemas.openxmlformats.org/officeDocument/2006/custom-properties" xmlns:vt="http://schemas.openxmlformats.org/officeDocument/2006/docPropsVTypes"/>
</file>