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60"/>
        <w:jc w:val="center"/>
      </w:pPr>
      <w:r>
        <w:rPr>
          <w:sz w:val="20"/>
          <w:szCs w:val="20"/>
        </w:rPr>
        <w:t xml:space="preserve">August 2026</w:t>
      </w:r>
    </w:p>
    <w:p>
      <w:pPr>
        <w:spacing w:after="60"/>
        <w:jc w:val="center"/>
      </w:pPr>
      <w:r>
        <w:rPr>
          <w:sz w:val="19"/>
          <w:szCs w:val="19"/>
        </w:rPr>
        <w:t xml:space="preserve">Preprint, version 1.0</w:t>
      </w:r>
    </w:p>
    <w:p>
      <w:pPr>
        <w:spacing w:after="300"/>
        <w:jc w:val="center"/>
      </w:pPr>
      <w:r>
        <w:rPr>
          <w:sz w:val="19"/>
          <w:szCs w:val="19"/>
        </w:rPr>
        <w:t xml:space="preserve">https://doi.org/10.5281/zenodo.21955709</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Reported performance on this task is therefore sensitive to class definition and resampling order, which makes comparison across studies difficult when those choices are not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the distinction between introversion and extroversion for decades because of its obvious presence in daily life [1, 2].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such as the NEO Personality Inventory [4], type-based instruments such as the Myers-Briggs Type Indicator [5], and shorter self-report measures [6] to place people along this dimension. More recently, personality traits have been predicted from social media activity [7], computer models have judged personality more accurately than a person’s own friends [8], and personality estimates have been used to target persuasive messages [9]. This work suggests that introverts and extroverts differ in measurable ways, although it has often relied on large and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 data report very different accuracies. Fieri et al. [13] report 73.5% and 95.5% for the same dataset, depending on how the data were prepared before training. So [12] reports 73.81% on the same questionnaire. Numbers like these are often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 for this particular task.</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in which each of the four decisions is isolated, with everything else about the setup held fixed, so that any difference is attributable to the decision alone.</w:t>
      </w:r>
    </w:p>
    <w:p>
      <w:pPr>
        <w:pStyle w:val="ListParagraph"/>
        <w:numPr>
          <w:ilvl w:val="0"/>
          <w:numId w:val="1"/>
        </w:numPr>
        <w:spacing w:after="90" w:line="276"/>
        <w:jc w:val="both"/>
      </w:pPr>
      <w:r>
        <w:rPr>
          <w:sz w:val="21"/>
          <w:szCs w:val="21"/>
        </w:rPr>
        <w:t xml:space="preserve">Effect sizes reported in percentage points of balanced accuracy with 95% intervals, measured across 50 fits per condition rather than a single split.</w:t>
      </w:r>
    </w:p>
    <w:p>
      <w:pPr>
        <w:pStyle w:val="ListParagraph"/>
        <w:numPr>
          <w:ilvl w:val="0"/>
          <w:numId w:val="1"/>
        </w:numPr>
        <w:spacing w:after="90" w:line="276"/>
        <w:jc w:val="both"/>
      </w:pPr>
      <w:r>
        <w:rPr>
          <w:sz w:val="21"/>
          <w:szCs w:val="21"/>
        </w:rPr>
        <w:t xml:space="preserve">A reproduction of two published three-class results on the same instrument, which locates the class-structure decision as the source of most of the spread in the published literature.</w:t>
      </w:r>
    </w:p>
    <w:p>
      <w:pPr>
        <w:pStyle w:val="ListParagraph"/>
        <w:numPr>
          <w:ilvl w:val="0"/>
          <w:numId w:val="1"/>
        </w:numPr>
        <w:spacing w:after="90" w:line="276"/>
        <w:jc w:val="both"/>
      </w:pPr>
      <w:r>
        <w:rPr>
          <w:sz w:val="21"/>
          <w:szCs w:val="21"/>
        </w:rPr>
        <w:t xml:space="preserve">An item-overlap analysis of both datasets, offering an explanation for why one of the four decisions produces no measurable effect while a superficially similar one produces roughly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and deriving one from the extraversion items would make any prediction from those same items circular, so this dataset is never used for classification. Its ten extraversion items serve only as a reference point for how much the questions of an established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Personality labels were set to 0 for introvert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w:t>
      </w:r>
    </w:p>
    <w:p>
      <w:pPr>
        <w:spacing w:after="160" w:line="276"/>
        <w:jc w:val="both"/>
      </w:pPr>
      <w:r>
        <w:rPr>
          <w:sz w:val="21"/>
          <w:szCs w:val="21"/>
        </w:rPr>
        <w:t xml:space="preserve">For MIES, a response of 0 marks a skipped question rather than a rating, and is treated as missing. Missing values are filled with the median of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[21] with 100 trees, a logistic regression with L2 regularization and the lbfgs solver, and an XGBoost model [19] with a maximum depth of 3 and 100 trees. All use random_state = 42 so that the results can be repeated.</w:t>
      </w:r>
    </w:p>
    <w:p>
      <w:pPr>
        <w:spacing w:after="160" w:line="276"/>
        <w:jc w:val="both"/>
      </w:pPr>
      <w:r>
        <w:rPr>
          <w:sz w:val="21"/>
          <w:szCs w:val="21"/>
        </w:rPr>
        <w:t xml:space="preserve">Every preprocessing step runs inside a scikit-learn [18] pipeline, so imputation and scaling are fitted on training data only. Fitting them on the full dataset first would be a small version of the leakage this paper measures.</w:t>
      </w:r>
    </w:p>
    <w:p>
      <w:pPr>
        <w:spacing w:after="120" w:before="220"/>
      </w:pPr>
      <w:r>
        <w:rPr>
          <w:b/>
          <w:bCs/>
          <w:sz w:val="22"/>
          <w:szCs w:val="22"/>
        </w:rPr>
        <w:t xml:space="preserve">B. Evaluation</w:t>
      </w:r>
    </w:p>
    <w:p>
      <w:pPr>
        <w:spacing w:after="160" w:line="276"/>
        <w:jc w:val="both"/>
      </w:pPr>
      <w:r>
        <w:rPr>
          <w:sz w:val="21"/>
          <w:szCs w:val="21"/>
        </w:rPr>
        <w:t xml:space="preserve">The baseline results in Table 1 use a single 80/20 stratified split.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Introverts make up 61.5% of the three-class data, so a model that answers “introvert” every time scores 61.5% raw accuracy without having learned anything. That figure has a name: the no-information rate, the score a classifier gets for free by always naming the largest class. Balanced accuracy scores each class separately and then averages them, so the same do-nothing model scores 33%. Where results here sit beside published figures, both sides use raw accuracy,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 In three of the four pairs, the first arm uses the whole dataset for a step that should be confined to the training data, and the second arm confines it correctly.</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neither) against two classes, with the neither group removed. This one changes the prediction task and the population being classified, not only the order of the steps.</w:t>
      </w:r>
    </w:p>
    <w:p>
      <w:pPr>
        <w:pStyle w:val="ListParagraph"/>
        <w:numPr>
          <w:ilvl w:val="0"/>
          <w:numId w:val="1"/>
        </w:numPr>
        <w:spacing w:after="90" w:line="276"/>
        <w:jc w:val="both"/>
      </w:pPr>
      <w:r>
        <w:rPr>
          <w:b/>
          <w:bCs/>
          <w:sz w:val="21"/>
          <w:szCs w:val="21"/>
        </w:rPr>
        <w:t xml:space="preserve">Resampling order. </w:t>
      </w:r>
      <w:r>
        <w:rPr>
          <w:sz w:val="21"/>
          <w:szCs w:val="21"/>
        </w:rPr>
        <w:t xml:space="preserve">SMOTE [16] applied to the entire dataset before cross-validation, against SMOTE applied inside each training fold through an imbalanced-learn [20] pipeline. SMOTE builds a new minority-class row by taking a real minority row, picking one of its five closest minority neighbors, and placing a new point at a random spot on the line between them. Five neighbors is the default and is used in both arms, so the only thing that differs is when the new rows are made.</w:t>
      </w:r>
    </w:p>
    <w:p>
      <w:pPr>
        <w:pStyle w:val="ListParagraph"/>
        <w:numPr>
          <w:ilvl w:val="0"/>
          <w:numId w:val="1"/>
        </w:numPr>
        <w:spacing w:after="90" w:line="276"/>
        <w:jc w:val="both"/>
      </w:pPr>
      <w:r>
        <w:rPr>
          <w:b/>
          <w:bCs/>
          <w:sz w:val="21"/>
          <w:szCs w:val="21"/>
        </w:rPr>
        <w:t xml:space="preserve">Duplicate rows. </w:t>
      </w:r>
      <w:r>
        <w:rPr>
          <w:sz w:val="21"/>
          <w:szCs w:val="21"/>
        </w:rPr>
        <w:t xml:space="preserve">The 486 exact duplicate rows kept in one arm and removed in the other, on the Kaggle dataset.</w:t>
      </w:r>
    </w:p>
    <w:p>
      <w:pPr>
        <w:pStyle w:val="ListParagraph"/>
        <w:numPr>
          <w:ilvl w:val="0"/>
          <w:numId w:val="1"/>
        </w:numPr>
        <w:spacing w:after="90" w:line="276"/>
        <w:jc w:val="both"/>
      </w:pPr>
      <w:r>
        <w:rPr>
          <w:b/>
          <w:bCs/>
          <w:sz w:val="21"/>
          <w:szCs w:val="21"/>
        </w:rPr>
        <w:t xml:space="preserve">Feature selection order. </w:t>
      </w:r>
      <w:r>
        <w:rPr>
          <w:sz w:val="21"/>
          <w:szCs w:val="21"/>
        </w:rPr>
        <w:t xml:space="preserve">The 15 items with the highest ANOVA F-score chosen from the entire dataset before cross-validation, against the same selection repeated from scratch inside each training fold. The F-score ranks each item by how far apart the class averages are relative to the spread within each class, so a high-scoring item is one that separates the groups cleanly on its own.</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all folds are stratified. Imputation, scaling, resampling, and feature selection run inside the pipeline so that they are fitted on training folds only, except where a condition deliberately does otherwise in order to measure the effect, and missing MIES responses are imputed with the training-fold median. Every table in this paper is produced by a named script in the repository listed under Code and Data Availability.</w:t>
      </w:r>
    </w:p>
    <w:p>
      <w:pPr>
        <w:spacing w:after="140" w:before="320"/>
      </w:pPr>
      <w:r>
        <w:rPr>
          <w:b/>
          <w:bCs/>
          <w:sz w:val="26"/>
          <w:szCs w:val="26"/>
        </w:rPr>
        <w:t xml:space="preserve">V. Results and Analysis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four effects with their intervals.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095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240"/>
        <w:jc w:val="center"/>
      </w:pPr>
      <w:r>
        <w:rPr>
          <w:sz w:val="18"/>
          <w:szCs w:val="18"/>
        </w:rPr>
        <w:t xml:space="preserve">Figure 1: The four conditions, random forest, with 95% intervals. The interval for selection order crosses zero; the others do not.</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Dropping the neither group converts a three-class problem into a two-class problem and removes the respondents whose self-description is least definite. Accuracy rises partly because the population that remains is easier to separate. A two-class problem is a reasonable thing to study, but a two-class result and a three-class result answer different questions and cannot be placed side by side.</w:t>
      </w:r>
    </w:p>
    <w:p>
      <w:pPr>
        <w:spacing w:after="160" w:line="276"/>
        <w:jc w:val="both"/>
      </w:pPr>
      <w:r>
        <w:rPr>
          <w:sz w:val="21"/>
          <w:szCs w:val="21"/>
        </w:rPr>
        <w:t xml:space="preserve">My three-class results, at 0.728 to 0.736 raw accuracy, land close to two published studies using the same instrument: So [12] reports 73.81% and Fieri et al. [13] report 73.5% before resampling. Fieri et al. list class counts of 4,404, 989, and 1,768, which are all three groups. So reports a no-information rate of 61.51%, and the largest class in the three-class version of this data accounts for 61.48% of it, against 81.6% in the two-class version, so that study was almost certainly working with three classes as well.</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mechanism is straightforward.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And the model has to be flexible enough to exploit the leaked information.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 The change I measure from ordering alone is close in size to the change they report.</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Choosing features on the whole dataset can only leak something if the choice itself carries information. If the questions in a dataset all measure close to the same thing, then almost any subset of them carries almost the same information, and it stops mattering whether that subset was picked using the test rows or without them. The measurements below suggest that is the situation here.</w:t>
      </w:r>
    </w:p>
    <w:p>
      <w:pPr>
        <w:spacing w:after="160" w:line="276"/>
        <w:jc w:val="both"/>
      </w:pPr>
      <w:r>
        <w:rPr>
          <w:sz w:val="21"/>
          <w:szCs w:val="21"/>
        </w:rPr>
        <w:t xml:space="preserve">Table 3 reports how strongly the items within each set move together. The measure is the absolute correlation between every pair of items in a set, where 0 means two questions tell you unrelated things about a person and 1 means they tell you the same thing twice. A set with a high average is one where the questions are close to interchangeable.</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The seven Kaggle behaviors average 0.784, roughly four times the MIES average of 0.196. The sharpest way to see it is at the edges of the range. The least related pair of the seven behaviors correlates at 0.69, which is higher than the most related pair in the BIG5 extraversion scale at 0.631. That scale was written on purpose to measure one trait through ten differently worded items, so it is a fair upper reference point for how much a deliberately repetitive set of questions should overlap. The seven behaviors sit above it, which means asking about time alone, social events, going outside, friends, posting, stage fright, and feeling drained is closer to asking one question seven times than to asking seven questions.</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Two further results follow from that. The first is that removing the single most important item barely changes anything. Importance here is measured with SHAP [17], a method that divides the credit for a model’s predictions among its features, so the top-ranked item is the one the model leans on hardest. All three models rank stage fright first on the Kaggle dataset, and removing it changes balanced accuracy by -0.005 for the random forest, +0.002 for logistic regression, and +0.004 for XGBoost. Two of the three do slightly better without the feature they depend on most.</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28900"/>
                    </a:xfrm>
                    <a:prstGeom prst="rect">
                      <a:avLst/>
                    </a:prstGeom>
                  </pic:spPr>
                </pic:pic>
              </a:graphicData>
            </a:graphic>
          </wp:inline>
        </w:drawing>
      </w:r>
    </w:p>
    <w:p>
      <w:pPr>
        <w:spacing w:after="240"/>
        <w:jc w:val="center"/>
      </w:pPr>
      <w:r>
        <w:rPr>
          <w:sz w:val="18"/>
          <w:szCs w:val="18"/>
        </w:rPr>
        <w:t xml:space="preserve">Figure 3: Balanced accuracy as items are removed one at a time in order of increasing importance, Kaggle dataset. Performance is flat from seven items down to two.</w:t>
      </w:r>
    </w:p>
    <w:p>
      <w:pPr>
        <w:spacing w:after="160" w:line="276"/>
        <w:jc w:val="both"/>
      </w:pPr>
      <w:r>
        <w:rPr>
          <w:sz w:val="21"/>
          <w:szCs w:val="21"/>
        </w:rPr>
        <w:t xml:space="preserve">The second is that the ablation curve in Figure 3 stays flat as items are dropped one at a time, holding steady from seven questions down to two. A dataset where the last two questions perform about as well as all seven is a dataset where the choice of questions carries little information, which is what the null result in Section F would predict.</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because it means the choices cannot be treated as interchangeable methodological details.</w:t>
      </w:r>
    </w:p>
    <w:p>
      <w:pPr>
        <w:spacing w:after="160" w:line="276"/>
        <w:jc w:val="both"/>
      </w:pPr>
      <w:r>
        <w:rPr>
          <w:sz w:val="21"/>
          <w:szCs w:val="21"/>
        </w:rPr>
        <w:t xml:space="preserve">The class-structure result is the one most likely to be misread. Dropping ambiverts is a legitimate choice, but two-class and three-class results answer different questions, and the gap between them is large enough to account for most of the range seen in published work on this instrument. Any paper reporting accuracy for this task should state its class structure somewhere a reader will see it.</w:t>
      </w:r>
    </w:p>
    <w:p>
      <w:pPr>
        <w:spacing w:after="160" w:line="276"/>
        <w:jc w:val="both"/>
      </w:pPr>
      <w:r>
        <w:rPr>
          <w:sz w:val="21"/>
          <w:szCs w:val="21"/>
        </w:rPr>
        <w:t xml:space="preserve">The resampling effect depends on conditions that are easy to overlook. It needs class imbalance, and it needs a model flexible enough to exploit the extra rows, so a study that resampled before splitting on balanced data with a linear model would see almost nothing and might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Both are self-report instruments, so nothing here speaks to behavioral or digital-trace data, and both were collected online from self-selected respondents.</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measurements offer a plausible reason for the null selection-order result but do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three datasets are publicly available from their original sources [10, 14, 15] and are not redistributed here; the repository documents where to download each one and how to prepare it.</w:t>
      </w:r>
    </w:p>
    <w:p>
      <w:pPr>
        <w:spacing w:after="140" w:before="320"/>
      </w:pPr>
      <w:r>
        <w:rPr>
          <w:b/>
          <w:bCs/>
          <w:sz w:val="26"/>
          <w:szCs w:val="26"/>
        </w:rPr>
        <w:t xml:space="preserve">Ethics Statement</w:t>
      </w:r>
    </w:p>
    <w:p>
      <w:pPr>
        <w:spacing w:after="160" w:line="276"/>
        <w:jc w:val="both"/>
      </w:pPr>
      <w:r>
        <w:rPr>
          <w:sz w:val="21"/>
          <w:szCs w:val="21"/>
        </w:rPr>
        <w:t xml:space="preserve">This work analyzes survey data that was collected and anonymized by others before the study began. No new human-subject data were collected, and no personally identifying information was accessed or redistributed.</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 doi: 10.1016/S0092-6566(03)00046-1.</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 doi: 10.1073/pnas.1218772110.</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 doi: 10.1073/pnas.1418680112.</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 doi: 10.1073/pnas.1710966114.</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 doi: 10.1016/j.patter.2023.100804.</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Fukuoka, Japan, 2020, pp. 693-696, doi: 10.1109/ICAIIC48513.2020.9065069.</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2154-2160, 2023, doi: 10.62527/joiv.7.4.1019.</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 doi: 10.1613/jair.953.</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p>
      <w:pPr>
        <w:spacing w:after="70"/>
        <w:ind w:left="340" w:hanging="340"/>
      </w:pPr>
      <w:r>
        <w:rPr>
          <w:sz w:val="19"/>
          <w:szCs w:val="19"/>
        </w:rPr>
        <w:t xml:space="preserve">[21] L. Breiman, "Random forests," Machine Learning, vol. 45, no. 1, pp. 5-32, 2001, doi: 10.1023/A:1010933404324.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3b267b738e695ae0d0dae5e406ca443a08a0d2.png"/><Relationship Id="rId9" Type="http://schemas.openxmlformats.org/officeDocument/2006/relationships/image" Target="media/7734561e51b05f7cb4c9eabdc10bcce485c829b6.png"/><Relationship Id="rId10" Type="http://schemas.openxmlformats.org/officeDocument/2006/relationships/image" Target="media/ad8bebae394922cf9ed17e0b485f445a88d9afb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2026-08-15T20:41:04.071Z</dcterms:created>
  <dcterms:modified xsi:type="dcterms:W3CDTF">2026-08-15T20:41:04.072Z</dcterms:modified>
</cp:coreProperties>
</file>

<file path=docProps/custom.xml><?xml version="1.0" encoding="utf-8"?>
<Properties xmlns="http://schemas.openxmlformats.org/officeDocument/2006/custom-properties" xmlns:vt="http://schemas.openxmlformats.org/officeDocument/2006/docPropsVTypes"/>
</file>