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300"/>
        <w:jc w:val="center"/>
      </w:pPr>
      <w:r>
        <w:rPr>
          <w:sz w:val="20"/>
          <w:szCs w:val="20"/>
        </w:rPr>
        <w:t xml:space="preserve">August 2026</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Accuracies for this task are therefore not comparable across studies unless these choices are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NEO Personality Inventory [4], type-based instruments such as the Myers-Briggs Type Indicator [5], and shorter self-report measures [6] to place people along this dimension. More recently, personality traits have been predicted from social media activity [7], computer models have judged personality more accurately than a person’s own friends [8], and personality estimates have been used to target persuasive messages [9]. This work suggests that introverts and extroverts differ in measurable ways, although it has often relied on large and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in which each of the four decisions is isolated, with everything else about the setup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V.G as a reference point for how much the items of an established extraversion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V.E reports what happens when they are kept.</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with 100 trees, a logistic regression with L2 regularization and the lbfgs solver, and an XGBoost model [19]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20" w:before="220"/>
      </w:pPr>
      <w:r>
        <w:rPr>
          <w:b/>
          <w:bCs/>
          <w:sz w:val="22"/>
          <w:szCs w:val="22"/>
        </w:rPr>
        <w:t xml:space="preserve">B. Evaluation</w:t>
      </w:r>
    </w:p>
    <w:p>
      <w:pPr>
        <w:spacing w:after="160" w:line="276"/>
        <w:jc w:val="both"/>
      </w:pPr>
      <w:r>
        <w:rPr>
          <w:sz w:val="21"/>
          <w:szCs w:val="21"/>
        </w:rPr>
        <w:t xml:space="preserve">The baseline results in Table 1 use a single 80/20 stratified split.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 Where results from this paper are placed beside published figures, the comparison uses raw accuracy on both sides,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V.C discusses that directly.</w:t>
      </w:r>
    </w:p>
    <w:p>
      <w:pPr>
        <w:pStyle w:val="ListParagraph"/>
        <w:numPr>
          <w:ilvl w:val="0"/>
          <w:numId w:val="1"/>
        </w:numPr>
        <w:spacing w:after="9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[20] pipeline, leaving every test fold untouched. Five nearest neighbors are used in both cases.</w:t>
      </w:r>
    </w:p>
    <w:p>
      <w:pPr>
        <w:pStyle w:val="ListParagraph"/>
        <w:numPr>
          <w:ilvl w:val="0"/>
          <w:numId w:val="1"/>
        </w:numPr>
        <w:spacing w:after="90" w:line="276"/>
        <w:jc w:val="both"/>
      </w:pPr>
      <w:r>
        <w:rPr>
          <w:b/>
          <w:bCs/>
          <w:sz w:val="21"/>
          <w:szCs w:val="21"/>
        </w:rPr>
        <w:t xml:space="preserve">Duplicate rows. </w:t>
      </w:r>
      <w:r>
        <w:rPr>
          <w:sz w:val="21"/>
          <w:szCs w:val="21"/>
        </w:rPr>
        <w:t xml:space="preserve">Kept against removed, as described in Section II.B.</w:t>
      </w:r>
    </w:p>
    <w:p>
      <w:pPr>
        <w:pStyle w:val="ListParagraph"/>
        <w:numPr>
          <w:ilvl w:val="0"/>
          <w:numId w:val="1"/>
        </w:numPr>
        <w:spacing w:after="9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200" w:line="276"/>
        <w:jc w:val="both"/>
      </w:pPr>
      <w:r>
        <w:rPr>
          <w:sz w:val="21"/>
          <w:szCs w:val="21"/>
        </w:rPr>
        <w:t xml:space="preserve">Random forest results on MIES shift by approximately 0.002 balanced accuracy under scikit-learn releases earlier than the pinned version, which is small relative to every effect reported here but worth noting for anyone rerunning the code in a different environment.</w:t>
      </w:r>
    </w:p>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cross-validation folds are stratified throughout. The baseline in Table 1 uses one 80/20 stratified split; every comparison in Section V uses 5-fold cross-validation repeated 10 times, giving 50 fits per arm. Imputation, scaling, resampling, and feature selection are all performed inside the pipeline so that they are fitted on training folds only, except where a condition deliberately does otherwise in order to measure the effect. Missing MIES responses are imputed with the training-fold median. Feature selection keeps the 15 items with the highest ANOVA F-score. The cleaning code, the condition scripts, the figure scripts, and the pinned requirements file are all in the repository listed under Code and Data Availability, and each table in this paper is produced by a named script in that repository.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Fieri et al. state class counts of 4,404, 989, and 1,768, which are the counts of all three groups, so that study retained the neither group as a matter of record. So does not state the class counts directly, but reports a no-information rate of 61.51%, which matches the majority-class share of the three-class version of this data (61.48%) rather than the two-class version (81.6%); the inference that the neither group was retained follows from that match rather than from a direct statement.</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One possible explanation is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Ranking items by SHAP importance [17], all three models place stage fright first on the Kaggle dataset,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exploit the leaked rows. A study that resamples before splitting on balanced data with a linear model would see almost nothing,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Both are self-report instruments, so nothing here speaks to behavioral or digital-trace data, and both were collected online from self-selected respondents.</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comparison in Section V.G offers a plausible reason for the null selection-order result but does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datasets are not redistributed; the repository documents where to download each one.</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2020, pp. 1-5.</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2153-2159, 2023.</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b267b738e695ae0d0dae5e406ca443a08a0d2.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2026-08-15T18:01:26.815Z</dcterms:created>
  <dcterms:modified xsi:type="dcterms:W3CDTF">2026-08-15T18:01:26.816Z</dcterms:modified>
</cp:coreProperties>
</file>

<file path=docProps/custom.xml><?xml version="1.0" encoding="utf-8"?>
<Properties xmlns="http://schemas.openxmlformats.org/officeDocument/2006/custom-properties" xmlns:vt="http://schemas.openxmlformats.org/officeDocument/2006/docPropsVTypes"/>
</file>