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300"/>
        <w:jc w:val="center"/>
      </w:pPr>
      <w:r>
        <w:rPr>
          <w:sz w:val="20"/>
          <w:szCs w:val="20"/>
        </w:rPr>
        <w:t xml:space="preserve">August 2026</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Accuracies for this task are therefore not comparable across studies unless these choices are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NEO Personality Inventory [4], type-based instruments such as the Myers-Briggs Type Indicator [5], and shorter self-report measures [6] to place people along this dimension. More recently, personality traits have been predicted from social media activity [7], computer models have judged personality more accurately than a person’s own friends [8], and personality estimates have been used to target persuasive messages [9]. This work suggests that introverts and extroverts differ in measurable ways, although it has often relied on large and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Motivation and Contributions</w:t>
      </w:r>
    </w:p>
    <w:p>
      <w:pPr>
        <w:spacing w:after="160" w:line="276"/>
        <w:jc w:val="both"/>
      </w:pPr>
      <w:r>
        <w:rPr>
          <w:sz w:val="21"/>
          <w:szCs w:val="21"/>
        </w:rPr>
        <w:t xml:space="preserve">In this study, 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The contributions are as follows:</w:t>
      </w:r>
    </w:p>
    <w:p>
      <w:pPr>
        <w:pStyle w:val="ListParagraph"/>
        <w:numPr>
          <w:ilvl w:val="0"/>
          <w:numId w:val="1"/>
        </w:numPr>
        <w:spacing w:after="90" w:line="276"/>
        <w:jc w:val="both"/>
      </w:pPr>
      <w:r>
        <w:rPr>
          <w:sz w:val="21"/>
          <w:szCs w:val="21"/>
        </w:rPr>
        <w:t xml:space="preserve">A controlled comparison in which each of the four decisions is isolated, with the datasets, the models, and the evaluation protocol held fixed, so that any difference is attributable to the decision alone.</w:t>
      </w:r>
    </w:p>
    <w:p>
      <w:pPr>
        <w:pStyle w:val="ListParagraph"/>
        <w:numPr>
          <w:ilvl w:val="0"/>
          <w:numId w:val="1"/>
        </w:numPr>
        <w:spacing w:after="90" w:line="276"/>
        <w:jc w:val="both"/>
      </w:pPr>
      <w:r>
        <w:rPr>
          <w:sz w:val="21"/>
          <w:szCs w:val="21"/>
        </w:rPr>
        <w:t xml:space="preserve">Effect sizes reported in percentage points of balanced accuracy with 95% intervals, measured across 50 fits per condition rather than a single split.</w:t>
      </w:r>
    </w:p>
    <w:p>
      <w:pPr>
        <w:pStyle w:val="ListParagraph"/>
        <w:numPr>
          <w:ilvl w:val="0"/>
          <w:numId w:val="1"/>
        </w:numPr>
        <w:spacing w:after="90" w:line="276"/>
        <w:jc w:val="both"/>
      </w:pPr>
      <w:r>
        <w:rPr>
          <w:sz w:val="21"/>
          <w:szCs w:val="21"/>
        </w:rPr>
        <w:t xml:space="preserve">A reproduction of two published three-class results on the same instrument, which locates the class-structure decision as the source of most of the spread in the published literature.</w:t>
      </w:r>
    </w:p>
    <w:p>
      <w:pPr>
        <w:pStyle w:val="ListParagraph"/>
        <w:numPr>
          <w:ilvl w:val="0"/>
          <w:numId w:val="1"/>
        </w:numPr>
        <w:spacing w:after="90" w:line="276"/>
        <w:jc w:val="both"/>
      </w:pPr>
      <w:r>
        <w:rPr>
          <w:sz w:val="21"/>
          <w:szCs w:val="21"/>
        </w:rPr>
        <w:t xml:space="preserve">An item-overlap analysis of both datasets, offering an explanation for why one of the four decisions produces no measurable effect while a superficially similar one produces roughly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 label would have to be derived from the extraversion items themselves, and predicting that label from those same items would be circular, so this dataset is not used for classification. It appears only in Section V.G as a reference point for how much the items of an established extraversion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 Section V.E reports what happens when they are kept.</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with 100 trees, a logistic regression with L2 regularization and the lbfgs solver, and an XGBoost model [19]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This matters here for a specific reason: fitting a scaler on the full dataset before splitting is itself a small version of the leakage this paper measures, so the code should not commit it.</w:t>
      </w:r>
    </w:p>
    <w:p>
      <w:pPr>
        <w:spacing w:after="120" w:before="220"/>
      </w:pPr>
      <w:r>
        <w:rPr>
          <w:b/>
          <w:bCs/>
          <w:sz w:val="22"/>
          <w:szCs w:val="22"/>
        </w:rPr>
        <w:t xml:space="preserve">B. Evaluation</w:t>
      </w:r>
    </w:p>
    <w:p>
      <w:pPr>
        <w:spacing w:after="160" w:line="276"/>
        <w:jc w:val="both"/>
      </w:pPr>
      <w:r>
        <w:rPr>
          <w:sz w:val="21"/>
          <w:szCs w:val="21"/>
        </w:rPr>
        <w:t xml:space="preserve">The baseline results in Table 1 use a single 80/20 stratified split.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A model that always predicts “introvert” on the three-class version reaches 61.5% raw accuracy while learning nothing. Balanced accuracy scores each class separately and averages them, so the same model scores 33%. Where results from this paper are placed beside published figures, the comparison uses raw accuracy on both sides,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changes the prediction task and the population being classified, not only the preprocessing. Section V.C discusses that directly.</w:t>
      </w:r>
    </w:p>
    <w:p>
      <w:pPr>
        <w:pStyle w:val="ListParagraph"/>
        <w:numPr>
          <w:ilvl w:val="0"/>
          <w:numId w:val="1"/>
        </w:numPr>
        <w:spacing w:after="90" w:line="276"/>
        <w:jc w:val="both"/>
      </w:pPr>
      <w:r>
        <w:rPr>
          <w:b/>
          <w:bCs/>
          <w:sz w:val="21"/>
          <w:szCs w:val="21"/>
        </w:rPr>
        <w:t xml:space="preserve">Resampling order. </w:t>
      </w:r>
      <w:r>
        <w:rPr>
          <w:sz w:val="21"/>
          <w:szCs w:val="21"/>
        </w:rPr>
        <w:t xml:space="preserve">In the leaky version, SMOTE [16] is applied to the entire dataset and cross-validation is run on the result. In the correct version, SMOTE is applied inside each training fold only, using an imbalanced-learn [20] pipeline, leaving every test fold untouched. Five nearest neighbors are used in both cases.</w:t>
      </w:r>
    </w:p>
    <w:p>
      <w:pPr>
        <w:pStyle w:val="ListParagraph"/>
        <w:numPr>
          <w:ilvl w:val="0"/>
          <w:numId w:val="1"/>
        </w:numPr>
        <w:spacing w:after="90" w:line="276"/>
        <w:jc w:val="both"/>
      </w:pPr>
      <w:r>
        <w:rPr>
          <w:b/>
          <w:bCs/>
          <w:sz w:val="21"/>
          <w:szCs w:val="21"/>
        </w:rPr>
        <w:t xml:space="preserve">Duplicate rows. </w:t>
      </w:r>
      <w:r>
        <w:rPr>
          <w:sz w:val="21"/>
          <w:szCs w:val="21"/>
        </w:rPr>
        <w:t xml:space="preserve">Kept against removed, as described in Section II.B.</w:t>
      </w:r>
    </w:p>
    <w:p>
      <w:pPr>
        <w:pStyle w:val="ListParagraph"/>
        <w:numPr>
          <w:ilvl w:val="0"/>
          <w:numId w:val="1"/>
        </w:numPr>
        <w:spacing w:after="90" w:line="276"/>
        <w:jc w:val="both"/>
      </w:pPr>
      <w:r>
        <w:rPr>
          <w:b/>
          <w:bCs/>
          <w:sz w:val="21"/>
          <w:szCs w:val="21"/>
        </w:rPr>
        <w:t xml:space="preserve">Feature selection order. </w:t>
      </w:r>
      <w:r>
        <w:rPr>
          <w:sz w:val="21"/>
          <w:szCs w:val="21"/>
        </w:rPr>
        <w:t xml:space="preserve">In the leaky version, the top 15 features by ANOVA F-score are chosen using the entire dataset, and cross-validation is run on those features. In the correct version, the same selection is performed separately inside each training fold. Fifteen was chosen because it matches the number of items selected by Fieri et al. [13].</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200" w:line="276"/>
        <w:jc w:val="both"/>
      </w:pPr>
      <w:r>
        <w:rPr>
          <w:sz w:val="21"/>
          <w:szCs w:val="21"/>
        </w:rPr>
        <w:t xml:space="preserve">Random forest results on MIES shift by approximately 0.002 balanced accuracy under scikit-learn releases earlier than the pinned version, which is small relative to every effect reported here but worth noting for anyone rerunning the code in a different environment.</w:t>
      </w:r>
    </w:p>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cross-validation folds are stratified throughout. The baseline in Table 1 uses one 80/20 stratified split; every comparison in Section V uses 5-fold cross-validation repeated 10 times, giving 50 fits per arm. Imputation, scaling, resampling, and feature selection are all performed inside the pipeline so that they are fitted on training folds only, except where a condition deliberately does otherwise in order to measure the effect. Missing MIES responses are imputed with the training-fold median. Feature selection keeps the 15 items with the highest ANOVA F-score. The cleaning code, the condition scripts, the figure scripts, and the pinned requirements file are all in the repository listed under Code and Data Availability, and each table in this paper is produced by a named script in that repository.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It is important to be clear about what this comparison is. Dropping the neither group does not simply clean the data; it converts a three-class problem into a two-class problem and removes the respondents whose self-description is least definite. Accuracy rises partly because the remaining population is easier to separate. The point is not that removing this group is wrong, since a two-class problem is a reasonable thing to study. The point is that a two-class result and a three-class result describe different tasks and cannot be placed side by side.</w:t>
      </w:r>
    </w:p>
    <w:p>
      <w:pPr>
        <w:spacing w:after="160" w:line="276"/>
        <w:jc w:val="both"/>
      </w:pPr>
      <w:r>
        <w:rPr>
          <w:sz w:val="21"/>
          <w:szCs w:val="21"/>
        </w:rPr>
        <w:t xml:space="preserve">This matters for reading the existing literature. My three-class results, at 0.728 to 0.736 raw accuracy, fall close to two published studies using the same instrument: So [12] reports 73.81% and Fieri et al. [13] report 73.5% before resampling. Fieri et al. state class counts of 4,404, 989, and 1,768, which are the counts of all three groups, so that study retained the neither group as a matter of record. So does not state the class counts directly, but reports a no-information rate of 61.51%, which matches the majority-class share of the three-class version of this data (61.48%) rather than the two-class version (81.6%); the inference that the neither group was retained follows from that match rather than from a direct statement.</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size of the change I measure from ordering alone is close to the size of the change they report, though I have not inspected their code and make no claim about what produced their numbers.</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One possible explanation is that the items in these datasets carry heavily overlapping information, so which subset is chosen matters less than it might.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In the Kaggle dataset, the least related pair of the seven behaviors correlates at 0.69, which is higher than the most related pair in the BIG5 extraversion scale (0.631). That scale was written to measure a single trait through ten items, so it is a reasonable upper reference point for how much a set of deliberately similar questions should overlap. The seven behaviors exceed it.</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A direct consequence is that removing the single highest-ranked item barely changes anything. Ranking items by SHAP importance [17], all three models place stage fright first on the Kaggle dataset, and removing it changes balanced accuracy by -0.005 for the random forest, +0.002 for logistic regression, and +0.004 for XGBoost. Two of the three models improve slightly without their most important feature.</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It is not a claim that dropping ambiverts is an error. It is a claim that two-class and three-class results are answers to different questions, and that the difference between them is large enough to account for most of the range seen in published work on this instrument. When a paper reports accuracy for introvert-extrovert classification, the class structure should be stated somewhere a reader will see it.</w:t>
      </w:r>
    </w:p>
    <w:p>
      <w:pPr>
        <w:spacing w:after="160" w:line="276"/>
        <w:jc w:val="both"/>
      </w:pPr>
      <w:r>
        <w:rPr>
          <w:sz w:val="21"/>
          <w:szCs w:val="21"/>
        </w:rPr>
        <w:t xml:space="preserve">The resampling result is a textbook leakage effect, but its size depends on conditions that are easy to overlook. It requires class imbalance, and it requires a model flexible enough to exploit the leaked rows. A study that resamples before splitting on balanced data with a linear model would see almost nothing,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Both are self-report instruments, so nothing here speaks to behavioral or digital-trace data, and both were collected online from self-selected respondents.</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comparison in Section V.G offers a plausible reason for the null selection-order result but does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datasets are not redistributed; the repository documents where to download each one.</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2020, pp. 1-5.</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2153-2159, 2023.</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71c831ca442f866700073c7ca2d67c337581629.png"/><Relationship Id="rId9" Type="http://schemas.openxmlformats.org/officeDocument/2006/relationships/image" Target="media/0ee18d46a813de04768fe93a04631071073bfd7b.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2026-08-15T17:55:02.265Z</dcterms:created>
  <dcterms:modified xsi:type="dcterms:W3CDTF">2026-08-15T17:55:02.266Z</dcterms:modified>
</cp:coreProperties>
</file>

<file path=docProps/custom.xml><?xml version="1.0" encoding="utf-8"?>
<Properties xmlns="http://schemas.openxmlformats.org/officeDocument/2006/custom-properties" xmlns:vt="http://schemas.openxmlformats.org/officeDocument/2006/docPropsVTypes"/>
</file>