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Unified Technical Architecture &amp; Data Strategy:</w:t>
        <w:br/>
        <w:t>Building a 360-Degree Analytical Platform for NSE FNO &amp; Nifty 500 Stocks</w:t>
      </w:r>
    </w:p>
    <w:p>
      <w:r>
        <w:br/>
      </w:r>
    </w:p>
    <w:p>
      <w:pPr>
        <w:pStyle w:val="IntenseQuote"/>
      </w:pPr>
      <w:r>
        <w:t>Document Type: Comprehensive Technical Design &amp; Architectural Blueprint</w:t>
      </w:r>
    </w:p>
    <w:p>
      <w:pPr>
        <w:pStyle w:val="IntenseQuote"/>
      </w:pPr>
      <w:r>
        <w:t>Target Audience: Data Engineers, Quant Analysts, System Architects, Technical Decision-Makers</w:t>
      </w:r>
    </w:p>
    <w:p>
      <w:pPr>
        <w:pStyle w:val="IntenseQuote"/>
      </w:pPr>
      <w:r>
        <w:t>Synthesis: Integrates baseline frameworks with advanced methodologies (Claude) and critical gap-mitigations (Deepseek)</w:t>
      </w:r>
    </w:p>
    <w:p>
      <w:r>
        <w:br w:type="page"/>
      </w:r>
    </w:p>
    <w:p>
      <w:pPr>
        <w:pStyle w:val="Heading1"/>
      </w:pPr>
      <w:r>
        <w:t>1. Executive Summary</w:t>
      </w:r>
    </w:p>
    <w:p>
      <w:r>
        <w:t>Building a production-grade 360-degree analytical platform for the Indian equity market (Nifty 500 and NSE F&amp;O) entirely on free data sources is a complex engineering challenge. The core trade-off replaces the financial cost of premium data vendors with substantial engineering effort required for data ingestion, normalisation, anomaly detection, and corporate action adjustments.</w:t>
      </w:r>
    </w:p>
    <w:p>
      <w:r>
        <w:t>This unified document synthesises high-level strategic objectives with deep technical rigour. It encompasses the baseline requirements of data aggregation while integrating advanced methodologies for corporate actions, strict data quality frameworks, point-in-time index composition tracking (to avoid survivorship bias), and continuous futures contract stitching. Crucially, it incorporates identified gap-mitigations such as BSE XBRL parsing for fundamentals, participant-wise OI ingestion, and WebSocket tick reconciliation.</w:t>
      </w:r>
    </w:p>
    <w:p>
      <w:pPr>
        <w:pStyle w:val="Heading1"/>
      </w:pPr>
      <w:r>
        <w:t>2. Defining the 360-Degree View Scope</w:t>
      </w:r>
    </w:p>
    <w:p>
      <w:r>
        <w:t>A true '360-degree' view demands every dimension of information required to evaluate a stock's past performance, current valuation, market sentiment, and derivative positioning. The scope is divided into four data pillars:</w:t>
      </w:r>
    </w:p>
    <w:p>
      <w:pPr>
        <w:pStyle w:val="Heading2"/>
      </w:pPr>
      <w:r>
        <w:t>2.1 Pillar 1: Price &amp; Volume Data (Cash Market)</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Data Element</w:t>
            </w:r>
          </w:p>
        </w:tc>
        <w:tc>
          <w:tcPr>
            <w:tcW w:type="dxa" w:w="4320"/>
          </w:tcPr>
          <w:p>
            <w:r>
              <w:rPr>
                <w:b/>
              </w:rPr>
              <w:t>Description &amp; Analytical Value</w:t>
            </w:r>
          </w:p>
        </w:tc>
      </w:tr>
      <w:tr>
        <w:tc>
          <w:tcPr>
            <w:tcW w:type="dxa" w:w="4320"/>
          </w:tcPr>
          <w:p>
            <w:r>
              <w:t>End-of-Day OHLCV</w:t>
            </w:r>
          </w:p>
        </w:tc>
        <w:tc>
          <w:tcPr>
            <w:tcW w:type="dxa" w:w="4320"/>
          </w:tcPr>
          <w:p>
            <w:r>
              <w:t>Open, High, Low, Close, Volume. Bedrock of all technical analysis and backtesting.</w:t>
            </w:r>
          </w:p>
        </w:tc>
      </w:tr>
      <w:tr>
        <w:tc>
          <w:tcPr>
            <w:tcW w:type="dxa" w:w="4320"/>
          </w:tcPr>
          <w:p>
            <w:r>
              <w:t>Adjusted Close Price</w:t>
            </w:r>
          </w:p>
        </w:tc>
        <w:tc>
          <w:tcPr>
            <w:tcW w:type="dxa" w:w="4320"/>
          </w:tcPr>
          <w:p>
            <w:r>
              <w:t>OHLCV retroactively corrected for splits, bonuses, dividends. Essential for momentum studies.</w:t>
            </w:r>
          </w:p>
        </w:tc>
      </w:tr>
      <w:tr>
        <w:tc>
          <w:tcPr>
            <w:tcW w:type="dxa" w:w="4320"/>
          </w:tcPr>
          <w:p>
            <w:r>
              <w:t>Intraday OHLCV (1m/5m)</w:t>
            </w:r>
          </w:p>
        </w:tc>
        <w:tc>
          <w:tcPr>
            <w:tcW w:type="dxa" w:w="4320"/>
          </w:tcPr>
          <w:p>
            <w:r>
              <w:t>Minute-level bars for VWAP computation and session-level participation analysis.</w:t>
            </w:r>
          </w:p>
        </w:tc>
      </w:tr>
      <w:tr>
        <w:tc>
          <w:tcPr>
            <w:tcW w:type="dxa" w:w="4320"/>
          </w:tcPr>
          <w:p>
            <w:r>
              <w:t>Delivery vs. Traded Vol (%)</w:t>
            </w:r>
          </w:p>
        </w:tc>
        <w:tc>
          <w:tcPr>
            <w:tcW w:type="dxa" w:w="4320"/>
          </w:tcPr>
          <w:p>
            <w:r>
              <w:t>Ratio of shares delivered to demat vs total traded. High delivery % signals institutional accumulation.</w:t>
            </w:r>
          </w:p>
        </w:tc>
      </w:tr>
      <w:tr>
        <w:tc>
          <w:tcPr>
            <w:tcW w:type="dxa" w:w="4320"/>
          </w:tcPr>
          <w:p>
            <w:r>
              <w:t>Market Cap &amp; Free Float</w:t>
            </w:r>
          </w:p>
        </w:tc>
        <w:tc>
          <w:tcPr>
            <w:tcW w:type="dxa" w:w="4320"/>
          </w:tcPr>
          <w:p>
            <w:r>
              <w:t>Classifies stocks, determines index weights, and influences institutional eligibility.</w:t>
            </w:r>
          </w:p>
        </w:tc>
      </w:tr>
    </w:tbl>
    <w:p>
      <w:pPr>
        <w:pStyle w:val="Heading2"/>
      </w:pPr>
      <w:r>
        <w:t>2.2 Pillar 2: Derivatives Data (Futures &amp; Options)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Data Element</w:t>
            </w:r>
          </w:p>
        </w:tc>
        <w:tc>
          <w:tcPr>
            <w:tcW w:type="dxa" w:w="4320"/>
          </w:tcPr>
          <w:p>
            <w:r>
              <w:rPr>
                <w:b/>
              </w:rPr>
              <w:t>Description &amp; Analytical Value</w:t>
            </w:r>
          </w:p>
        </w:tc>
      </w:tr>
      <w:tr>
        <w:tc>
          <w:tcPr>
            <w:tcW w:type="dxa" w:w="4320"/>
          </w:tcPr>
          <w:p>
            <w:r>
              <w:t>F&amp;O EOD Bhavcopy</w:t>
            </w:r>
          </w:p>
        </w:tc>
        <w:tc>
          <w:tcPr>
            <w:tcW w:type="dxa" w:w="4320"/>
          </w:tcPr>
          <w:p>
            <w:r>
              <w:t>Daily CSV detailing Strike, CE/PE, Settle Price, OI, Volume across all contracts.</w:t>
            </w:r>
          </w:p>
        </w:tc>
      </w:tr>
      <w:tr>
        <w:tc>
          <w:tcPr>
            <w:tcW w:type="dxa" w:w="4320"/>
          </w:tcPr>
          <w:p>
            <w:r>
              <w:t>Open Interest (OI) dynamics</w:t>
            </w:r>
          </w:p>
        </w:tc>
        <w:tc>
          <w:tcPr>
            <w:tcW w:type="dxa" w:w="4320"/>
          </w:tcPr>
          <w:p>
            <w:r>
              <w:t>Rising OI + Rising Price = Long Build-up. Max Pain analysis across strikes.</w:t>
            </w:r>
          </w:p>
        </w:tc>
      </w:tr>
      <w:tr>
        <w:tc>
          <w:tcPr>
            <w:tcW w:type="dxa" w:w="4320"/>
          </w:tcPr>
          <w:p>
            <w:r>
              <w:t>Option Chain &amp; Greeks</w:t>
            </w:r>
          </w:p>
        </w:tc>
        <w:tc>
          <w:tcPr>
            <w:tcW w:type="dxa" w:w="4320"/>
          </w:tcPr>
          <w:p>
            <w:r>
              <w:t>Real-time/Snapshot IV, Delta, Theta, Gamma for PCR and IV Surface modeling.</w:t>
            </w:r>
          </w:p>
        </w:tc>
      </w:tr>
      <w:tr>
        <w:tc>
          <w:tcPr>
            <w:tcW w:type="dxa" w:w="4320"/>
          </w:tcPr>
          <w:p>
            <w:r>
              <w:t>Rollover Statistics</w:t>
            </w:r>
          </w:p>
        </w:tc>
        <w:tc>
          <w:tcPr>
            <w:tcW w:type="dxa" w:w="4320"/>
          </w:tcPr>
          <w:p>
            <w:r>
              <w:t>% of positions rolled over during expiry week indicating directional continuation/unwinding.</w:t>
            </w:r>
          </w:p>
        </w:tc>
      </w:tr>
      <w:tr>
        <w:tc>
          <w:tcPr>
            <w:tcW w:type="dxa" w:w="4320"/>
          </w:tcPr>
          <w:p>
            <w:r>
              <w:t>Participant-wise OI (FII/DII)</w:t>
            </w:r>
          </w:p>
        </w:tc>
        <w:tc>
          <w:tcPr>
            <w:tcW w:type="dxa" w:w="4320"/>
          </w:tcPr>
          <w:p>
            <w:r>
              <w:t>Daily SEBI/NSE reports tracking net positioning by client type ('smart money' flow).</w:t>
            </w:r>
          </w:p>
        </w:tc>
      </w:tr>
    </w:tbl>
    <w:p>
      <w:pPr>
        <w:pStyle w:val="Heading2"/>
      </w:pPr>
      <w:r>
        <w:t>2.3 Pillar 3: Corporate Actions &amp; Fundamentals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Data Element</w:t>
            </w:r>
          </w:p>
        </w:tc>
        <w:tc>
          <w:tcPr>
            <w:tcW w:type="dxa" w:w="4320"/>
          </w:tcPr>
          <w:p>
            <w:r>
              <w:rPr>
                <w:b/>
              </w:rPr>
              <w:t>Description &amp; Analytical Value</w:t>
            </w:r>
          </w:p>
        </w:tc>
      </w:tr>
      <w:tr>
        <w:tc>
          <w:tcPr>
            <w:tcW w:type="dxa" w:w="4320"/>
          </w:tcPr>
          <w:p>
            <w:r>
              <w:t>Splits, Bonuses, Rights</w:t>
            </w:r>
          </w:p>
        </w:tc>
        <w:tc>
          <w:tcPr>
            <w:tcW w:type="dxa" w:w="4320"/>
          </w:tcPr>
          <w:p>
            <w:r>
              <w:t>Events that permanently alter capital structure and dilute prices. Require mathematical backward adjustment.</w:t>
            </w:r>
          </w:p>
        </w:tc>
      </w:tr>
      <w:tr>
        <w:tc>
          <w:tcPr>
            <w:tcW w:type="dxa" w:w="4320"/>
          </w:tcPr>
          <w:p>
            <w:r>
              <w:t>Demergers / Spin-offs</w:t>
            </w:r>
          </w:p>
        </w:tc>
        <w:tc>
          <w:tcPr>
            <w:tcW w:type="dxa" w:w="4320"/>
          </w:tcPr>
          <w:p>
            <w:r>
              <w:t>Parent splits. Requires precise ratio and first-day price discovery of the spun-off entity.</w:t>
            </w:r>
          </w:p>
        </w:tc>
      </w:tr>
      <w:tr>
        <w:tc>
          <w:tcPr>
            <w:tcW w:type="dxa" w:w="4320"/>
          </w:tcPr>
          <w:p>
            <w:r>
              <w:t>Quarterly Financials (XBRL)</w:t>
            </w:r>
          </w:p>
        </w:tc>
        <w:tc>
          <w:tcPr>
            <w:tcW w:type="dxa" w:w="4320"/>
          </w:tcPr>
          <w:p>
            <w:r>
              <w:t>Revenue, PAT, EPS via BSE XBRL parser. Vastly superior to error-prone HTML scraping.</w:t>
            </w:r>
          </w:p>
        </w:tc>
      </w:tr>
      <w:tr>
        <w:tc>
          <w:tcPr>
            <w:tcW w:type="dxa" w:w="4320"/>
          </w:tcPr>
          <w:p>
            <w:r>
              <w:t>Shareholding Patterns</w:t>
            </w:r>
          </w:p>
        </w:tc>
        <w:tc>
          <w:tcPr>
            <w:tcW w:type="dxa" w:w="4320"/>
          </w:tcPr>
          <w:p>
            <w:r>
              <w:t>Promoter pledge %, FII/DII stakes. Increases in promoter pledge act as severe bearish signals.</w:t>
            </w:r>
          </w:p>
        </w:tc>
      </w:tr>
    </w:tbl>
    <w:p>
      <w:pPr>
        <w:pStyle w:val="Heading2"/>
      </w:pPr>
      <w:r>
        <w:t>2.4 Pillar 4: Alternative &amp; Macro Data</w:t>
      </w:r>
    </w:p>
    <w:p>
      <w:r>
        <w:t>• India VIX: NSE's Fear Index measuring 30-day expected volatility.</w:t>
        <w:br/>
        <w:t>• Sectoral Indices &amp; Bond Yields: For rotational analysis and DCF discount rates.</w:t>
        <w:br/>
        <w:t>• USD/INR Exchange Rate: Crucial for export/import heavy sectors (IT, Pharma, Oil).</w:t>
        <w:br/>
        <w:t>• News Sentiment: NLP processing of headlines from standard financial media.</w:t>
        <w:br/>
        <w:t>• Bulk &amp; Block Deals: SEBI disclosures indicating institutional conviction.</w:t>
      </w:r>
    </w:p>
    <w:p>
      <w:pPr>
        <w:pStyle w:val="Heading1"/>
      </w:pPr>
      <w:r>
        <w:t>3. Nature of Data &amp; File Structures</w:t>
      </w:r>
    </w:p>
    <w:tbl>
      <w:tblPr>
        <w:tblStyle w:val="MediumGrid1-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Data Artefact</w:t>
            </w:r>
          </w:p>
        </w:tc>
        <w:tc>
          <w:tcPr>
            <w:tcW w:type="dxa" w:w="1728"/>
          </w:tcPr>
          <w:p>
            <w:r>
              <w:rPr>
                <w:b/>
              </w:rPr>
              <w:t>Format</w:t>
            </w:r>
          </w:p>
        </w:tc>
        <w:tc>
          <w:tcPr>
            <w:tcW w:type="dxa" w:w="1728"/>
          </w:tcPr>
          <w:p>
            <w:r>
              <w:rPr>
                <w:b/>
              </w:rPr>
              <w:t>Source</w:t>
            </w:r>
          </w:p>
        </w:tc>
        <w:tc>
          <w:tcPr>
            <w:tcW w:type="dxa" w:w="1728"/>
          </w:tcPr>
          <w:p>
            <w:r>
              <w:rPr>
                <w:b/>
              </w:rPr>
              <w:t>Frequency</w:t>
            </w:r>
          </w:p>
        </w:tc>
        <w:tc>
          <w:tcPr>
            <w:tcW w:type="dxa" w:w="1728"/>
          </w:tcPr>
          <w:p>
            <w:r>
              <w:rPr>
                <w:b/>
              </w:rPr>
              <w:t>Key Nuances</w:t>
            </w:r>
          </w:p>
        </w:tc>
      </w:tr>
      <w:tr>
        <w:tc>
          <w:tcPr>
            <w:tcW w:type="dxa" w:w="1728"/>
          </w:tcPr>
          <w:p>
            <w:r>
              <w:t>Cash/F&amp;O Bhavcopy</w:t>
            </w:r>
          </w:p>
        </w:tc>
        <w:tc>
          <w:tcPr>
            <w:tcW w:type="dxa" w:w="1728"/>
          </w:tcPr>
          <w:p>
            <w:r>
              <w:t>CSV.ZIP</w:t>
            </w:r>
          </w:p>
        </w:tc>
        <w:tc>
          <w:tcPr>
            <w:tcW w:type="dxa" w:w="1728"/>
          </w:tcPr>
          <w:p>
            <w:r>
              <w:t>NSE Direct</w:t>
            </w:r>
          </w:p>
        </w:tc>
        <w:tc>
          <w:tcPr>
            <w:tcW w:type="dxa" w:w="1728"/>
          </w:tcPr>
          <w:p>
            <w:r>
              <w:t>Daily (EOD)</w:t>
            </w:r>
          </w:p>
        </w:tc>
        <w:tc>
          <w:tcPr>
            <w:tcW w:type="dxa" w:w="1728"/>
          </w:tcPr>
          <w:p>
            <w:r>
              <w:t>Cloudflare protected. Needs header matching &amp; UTF-8 parsing.</w:t>
            </w:r>
          </w:p>
        </w:tc>
      </w:tr>
      <w:tr>
        <w:tc>
          <w:tcPr>
            <w:tcW w:type="dxa" w:w="1728"/>
          </w:tcPr>
          <w:p>
            <w:r>
              <w:t>Delivery Data (MTO)</w:t>
            </w:r>
          </w:p>
        </w:tc>
        <w:tc>
          <w:tcPr>
            <w:tcW w:type="dxa" w:w="1728"/>
          </w:tcPr>
          <w:p>
            <w:r>
              <w:t>DAT/CSV</w:t>
            </w:r>
          </w:p>
        </w:tc>
        <w:tc>
          <w:tcPr>
            <w:tcW w:type="dxa" w:w="1728"/>
          </w:tcPr>
          <w:p>
            <w:r>
              <w:t>NSE Direct</w:t>
            </w:r>
          </w:p>
        </w:tc>
        <w:tc>
          <w:tcPr>
            <w:tcW w:type="dxa" w:w="1728"/>
          </w:tcPr>
          <w:p>
            <w:r>
              <w:t>Daily (EOD)</w:t>
            </w:r>
          </w:p>
        </w:tc>
        <w:tc>
          <w:tcPr>
            <w:tcW w:type="dxa" w:w="1728"/>
          </w:tcPr>
          <w:p>
            <w:r>
              <w:t>Often delayed post-market. Separate ingestion pipeline.</w:t>
            </w:r>
          </w:p>
        </w:tc>
      </w:tr>
      <w:tr>
        <w:tc>
          <w:tcPr>
            <w:tcW w:type="dxa" w:w="1728"/>
          </w:tcPr>
          <w:p>
            <w:r>
              <w:t>Option Chain</w:t>
            </w:r>
          </w:p>
        </w:tc>
        <w:tc>
          <w:tcPr>
            <w:tcW w:type="dxa" w:w="1728"/>
          </w:tcPr>
          <w:p>
            <w:r>
              <w:t>JSON</w:t>
            </w:r>
          </w:p>
        </w:tc>
        <w:tc>
          <w:tcPr>
            <w:tcW w:type="dxa" w:w="1728"/>
          </w:tcPr>
          <w:p>
            <w:r>
              <w:t>NSE REST API</w:t>
            </w:r>
          </w:p>
        </w:tc>
        <w:tc>
          <w:tcPr>
            <w:tcW w:type="dxa" w:w="1728"/>
          </w:tcPr>
          <w:p>
            <w:r>
              <w:t>Real-time</w:t>
            </w:r>
          </w:p>
        </w:tc>
        <w:tc>
          <w:tcPr>
            <w:tcW w:type="dxa" w:w="1728"/>
          </w:tcPr>
          <w:p>
            <w:r>
              <w:t>Requires HTTP session cookie initialization from NSE homepage.</w:t>
            </w:r>
          </w:p>
        </w:tc>
      </w:tr>
      <w:tr>
        <w:tc>
          <w:tcPr>
            <w:tcW w:type="dxa" w:w="1728"/>
          </w:tcPr>
          <w:p>
            <w:r>
              <w:t>Fundamentals</w:t>
            </w:r>
          </w:p>
        </w:tc>
        <w:tc>
          <w:tcPr>
            <w:tcW w:type="dxa" w:w="1728"/>
          </w:tcPr>
          <w:p>
            <w:r>
              <w:t>XML/XBRL</w:t>
            </w:r>
          </w:p>
        </w:tc>
        <w:tc>
          <w:tcPr>
            <w:tcW w:type="dxa" w:w="1728"/>
          </w:tcPr>
          <w:p>
            <w:r>
              <w:t>BSE Direct</w:t>
            </w:r>
          </w:p>
        </w:tc>
        <w:tc>
          <w:tcPr>
            <w:tcW w:type="dxa" w:w="1728"/>
          </w:tcPr>
          <w:p>
            <w:r>
              <w:t>Quarterly</w:t>
            </w:r>
          </w:p>
        </w:tc>
        <w:tc>
          <w:tcPr>
            <w:tcW w:type="dxa" w:w="1728"/>
          </w:tcPr>
          <w:p>
            <w:r>
              <w:t>Use `pandas-xbrl` or `bse` python libraries. High accuracy.</w:t>
            </w:r>
          </w:p>
        </w:tc>
      </w:tr>
      <w:tr>
        <w:tc>
          <w:tcPr>
            <w:tcW w:type="dxa" w:w="1728"/>
          </w:tcPr>
          <w:p>
            <w:r>
              <w:t>Participant-wise OI</w:t>
            </w:r>
          </w:p>
        </w:tc>
        <w:tc>
          <w:tcPr>
            <w:tcW w:type="dxa" w:w="1728"/>
          </w:tcPr>
          <w:p>
            <w:r>
              <w:t>CSV</w:t>
            </w:r>
          </w:p>
        </w:tc>
        <w:tc>
          <w:tcPr>
            <w:tcW w:type="dxa" w:w="1728"/>
          </w:tcPr>
          <w:p>
            <w:r>
              <w:t>NSE F&amp;O section</w:t>
            </w:r>
          </w:p>
        </w:tc>
        <w:tc>
          <w:tcPr>
            <w:tcW w:type="dxa" w:w="1728"/>
          </w:tcPr>
          <w:p>
            <w:r>
              <w:t>Daily (EOD)</w:t>
            </w:r>
          </w:p>
        </w:tc>
        <w:tc>
          <w:tcPr>
            <w:tcW w:type="dxa" w:w="1728"/>
          </w:tcPr>
          <w:p>
            <w:r>
              <w:t>Granular FII/DII/Pro/Client long vs short positioning.</w:t>
            </w:r>
          </w:p>
        </w:tc>
      </w:tr>
      <w:tr>
        <w:tc>
          <w:tcPr>
            <w:tcW w:type="dxa" w:w="1728"/>
          </w:tcPr>
          <w:p>
            <w:r>
              <w:t>Corporate Actions</w:t>
            </w:r>
          </w:p>
        </w:tc>
        <w:tc>
          <w:tcPr>
            <w:tcW w:type="dxa" w:w="1728"/>
          </w:tcPr>
          <w:p>
            <w:r>
              <w:t>HTML/CSV</w:t>
            </w:r>
          </w:p>
        </w:tc>
        <w:tc>
          <w:tcPr>
            <w:tcW w:type="dxa" w:w="1728"/>
          </w:tcPr>
          <w:p>
            <w:r>
              <w:t>NSE/BSE</w:t>
            </w:r>
          </w:p>
        </w:tc>
        <w:tc>
          <w:tcPr>
            <w:tcW w:type="dxa" w:w="1728"/>
          </w:tcPr>
          <w:p>
            <w:r>
              <w:t>Event-driven</w:t>
            </w:r>
          </w:p>
        </w:tc>
        <w:tc>
          <w:tcPr>
            <w:tcW w:type="dxa" w:w="1728"/>
          </w:tcPr>
          <w:p>
            <w:r>
              <w:t>Must cross-validate NSE vs BSE announcements.</w:t>
            </w:r>
          </w:p>
        </w:tc>
      </w:tr>
    </w:tbl>
    <w:p>
      <w:pPr>
        <w:pStyle w:val="Heading1"/>
      </w:pPr>
      <w:r>
        <w:t>4. Impact of Business Processes (Corporate Action Adjustments)</w:t>
      </w:r>
    </w:p>
    <w:p>
      <w:r>
        <w:t>Corporate actions create historical time-series discontinuities. Unadjusted data invalidates technical indicators (e.g., a 1:1 bonus appears as a 50% price crash). The system must employ the Backward Ratio Adjustment Methodology, keeping the most recent price unchanged and adjusting history backward. Always store raw unadjusted prices and apply cumulative adjustments on read.</w:t>
      </w:r>
    </w:p>
    <w:p>
      <w:pPr>
        <w:pStyle w:val="Heading2"/>
      </w:pPr>
      <w:r>
        <w:t>4.1 Mathematical Adjustment Factors (AF)</w:t>
      </w:r>
    </w:p>
    <w:p>
      <w:r>
        <w:t>1. Stock Split (e.g., FV 10 to FV 2 = 5:1 ratio):</w:t>
      </w:r>
    </w:p>
    <w:p>
      <w:r>
        <w:t xml:space="preserve">   • Price AF = 1 / Split Ratio (e.g., 1/5 = 0.20)</w:t>
      </w:r>
    </w:p>
    <w:p>
      <w:r>
        <w:t xml:space="preserve">   • Volume AF = Split Ratio (e.g., 5)</w:t>
      </w:r>
    </w:p>
    <w:p>
      <w:r>
        <w:t>2. Bonus Issue (e.g., A:B = A free for B held):</w:t>
      </w:r>
    </w:p>
    <w:p>
      <w:r>
        <w:t xml:space="preserve">   • Price AF = B / (A + B)</w:t>
      </w:r>
    </w:p>
    <w:p>
      <w:r>
        <w:t xml:space="preserve">   • Volume AF = (A + B) / B</w:t>
      </w:r>
    </w:p>
    <w:p>
      <w:r>
        <w:t>3. Dividends (Proportional Method):</w:t>
      </w:r>
    </w:p>
    <w:p>
      <w:r>
        <w:t xml:space="preserve">   • AF = 1 - (Dividend Amount / Pre-Ex-Date Close Price)</w:t>
      </w:r>
    </w:p>
    <w:p>
      <w:r>
        <w:t xml:space="preserve">   • Note: Proportional adjustment is preferred over additive to prevent negative historical prices.</w:t>
      </w:r>
    </w:p>
    <w:p>
      <w:r>
        <w:t>4. Rights Issues:</w:t>
      </w:r>
    </w:p>
    <w:p>
      <w:r>
        <w:t xml:space="preserve">   • Theoretical Ex-Rights Price (TERP) = (Pre-Rights Price × N + Rights Price × M) / (N + M)</w:t>
      </w:r>
    </w:p>
    <w:p>
      <w:r>
        <w:t xml:space="preserve">   • AF = TERP / Pre-Rights Close Price</w:t>
      </w:r>
    </w:p>
    <w:p>
      <w:pPr>
        <w:pStyle w:val="Heading2"/>
      </w:pPr>
      <w:r>
        <w:t>4.2 Demergers &amp; Spin-offs (Advanced Handling)</w:t>
      </w:r>
    </w:p>
    <w:p>
      <w:r>
        <w:t>Demergers (e.g., RIL spinning off Jio Financial) require knowing the market capitalization split ratio and the first-day discovery price of the new entity. Because this is rarely programmatic in free sources, the system MUST maintain a manual override table for demerger events, with fallback to parsing NSE circulars via NLP.</w:t>
      </w:r>
    </w:p>
    <w:p>
      <w:pPr>
        <w:pStyle w:val="Heading1"/>
      </w:pPr>
      <w:r>
        <w:t>5. Comprehensive Analysis of Free Data Sources</w:t>
      </w:r>
    </w:p>
    <w:p>
      <w:pPr>
        <w:pStyle w:val="Heading3"/>
      </w:pPr>
      <w:r>
        <w:t>5.1 NSE Direct (Primary Source)</w:t>
      </w:r>
    </w:p>
    <w:p>
      <w:r>
        <w:t>• Pros: Authoritative, 100% free, full Cash/F&amp;O/Delivery coverage.</w:t>
      </w:r>
    </w:p>
    <w:p>
      <w:r>
        <w:t>• Cons: Aggressive Cloudflare bot protection. Session cookies required. URLs mutate.</w:t>
      </w:r>
    </w:p>
    <w:p>
      <w:r>
        <w:t>• Mitigation: Use rotating residential proxies, exponential backoff (2^n secs + jitter), and proper User-Agent headers.</w:t>
      </w:r>
    </w:p>
    <w:p>
      <w:pPr>
        <w:pStyle w:val="Heading3"/>
      </w:pPr>
      <w:r>
        <w:t>5.2 Yahoo Finance (yfinance)</w:t>
      </w:r>
    </w:p>
    <w:p>
      <w:r>
        <w:t>• Pros: Excellent for deep historical adjusted EOD data. Handles bulk downloads via multi-threading.</w:t>
      </w:r>
    </w:p>
    <w:p>
      <w:r>
        <w:t>• Cons: SEVERE Survivorship Bias (delisted stocks disappear). No F&amp;O data. Occasional spurious price spikes.</w:t>
      </w:r>
    </w:p>
    <w:p>
      <w:pPr>
        <w:pStyle w:val="Heading3"/>
      </w:pPr>
      <w:r>
        <w:t>5.3 Discount Broker APIs (Shoonya, Angel One, Upstox)</w:t>
      </w:r>
    </w:p>
    <w:p>
      <w:r>
        <w:t>• Pros: The ONLY viable free source for real-time WebSocket tick data and deep intraday (1m) historical bars.</w:t>
      </w:r>
    </w:p>
    <w:p>
      <w:r>
        <w:t>• Cons: High risk of API downtime at 09:15 AM (market open). Strict rate limits (e.g., 3 req/sec).</w:t>
      </w:r>
    </w:p>
    <w:p>
      <w:r>
        <w:t>• Mitigation: Implement token-bucket rate limiting. Reconcile missed WebSocket ticks nightly against NSE Bhavcopy.</w:t>
      </w:r>
    </w:p>
    <w:p>
      <w:pPr>
        <w:pStyle w:val="Heading3"/>
      </w:pPr>
      <w:r>
        <w:t>5.4 BSE, SEBI &amp; RBI</w:t>
      </w:r>
    </w:p>
    <w:p>
      <w:r>
        <w:t>• BSE: Primary source for structured XBRL financial filings.</w:t>
      </w:r>
    </w:p>
    <w:p>
      <w:r>
        <w:t>• SEBI: Daily Participant-wise OI and FII/DII flow data.</w:t>
      </w:r>
    </w:p>
    <w:p>
      <w:r>
        <w:t>• RBI: Historical USD/INR exchange rates and 10-year Bond Yields.</w:t>
      </w:r>
    </w:p>
    <w:p>
      <w:pPr>
        <w:pStyle w:val="Heading1"/>
      </w:pPr>
      <w:r>
        <w:t>6. System Architecture &amp; Engineering</w:t>
      </w:r>
    </w:p>
    <w:p>
      <w:pPr>
        <w:pStyle w:val="Heading2"/>
      </w:pPr>
      <w:r>
        <w:t>6.1 Component Stack</w:t>
      </w:r>
    </w:p>
    <w:tbl>
      <w:tblPr>
        <w:tblStyle w:val="MediumGrid1-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Rationale</w:t>
            </w:r>
          </w:p>
        </w:tc>
      </w:tr>
      <w:tr>
        <w:tc>
          <w:tcPr>
            <w:tcW w:type="dxa" w:w="2880"/>
          </w:tcPr>
          <w:p>
            <w:r>
              <w:t>Orchestration</w:t>
            </w:r>
          </w:p>
        </w:tc>
        <w:tc>
          <w:tcPr>
            <w:tcW w:type="dxa" w:w="2880"/>
          </w:tcPr>
          <w:p>
            <w:r>
              <w:t>Apache Airflow 2.x</w:t>
            </w:r>
          </w:p>
        </w:tc>
        <w:tc>
          <w:tcPr>
            <w:tcW w:type="dxa" w:w="2880"/>
          </w:tcPr>
          <w:p>
            <w:r>
              <w:t>DAG-based scheduling, dependency mapping, retry logic.</w:t>
            </w:r>
          </w:p>
        </w:tc>
      </w:tr>
      <w:tr>
        <w:tc>
          <w:tcPr>
            <w:tcW w:type="dxa" w:w="2880"/>
          </w:tcPr>
          <w:p>
            <w:r>
              <w:t>Raw Data Lake</w:t>
            </w:r>
          </w:p>
        </w:tc>
        <w:tc>
          <w:tcPr>
            <w:tcW w:type="dxa" w:w="2880"/>
          </w:tcPr>
          <w:p>
            <w:r>
              <w:t>MinIO / AWS S3</w:t>
            </w:r>
          </w:p>
        </w:tc>
        <w:tc>
          <w:tcPr>
            <w:tcW w:type="dxa" w:w="2880"/>
          </w:tcPr>
          <w:p>
            <w:r>
              <w:t>Immutable object storage for raw CSV, ZIP, JSON. Re-run capability.</w:t>
            </w:r>
          </w:p>
        </w:tc>
      </w:tr>
      <w:tr>
        <w:tc>
          <w:tcPr>
            <w:tcW w:type="dxa" w:w="2880"/>
          </w:tcPr>
          <w:p>
            <w:r>
              <w:t>Time-Series DB</w:t>
            </w:r>
          </w:p>
        </w:tc>
        <w:tc>
          <w:tcPr>
            <w:tcW w:type="dxa" w:w="2880"/>
          </w:tcPr>
          <w:p>
            <w:r>
              <w:t>TimescaleDB (PostgreSQL)</w:t>
            </w:r>
          </w:p>
        </w:tc>
        <w:tc>
          <w:tcPr>
            <w:tcW w:type="dxa" w:w="2880"/>
          </w:tcPr>
          <w:p>
            <w:r>
              <w:t>SQL interface, optimized for fast range queries and OHLCV aggregates.</w:t>
            </w:r>
          </w:p>
        </w:tc>
      </w:tr>
      <w:tr>
        <w:tc>
          <w:tcPr>
            <w:tcW w:type="dxa" w:w="2880"/>
          </w:tcPr>
          <w:p>
            <w:r>
              <w:t>Relational DB</w:t>
            </w:r>
          </w:p>
        </w:tc>
        <w:tc>
          <w:tcPr>
            <w:tcW w:type="dxa" w:w="2880"/>
          </w:tcPr>
          <w:p>
            <w:r>
              <w:t>PostgreSQL 15+</w:t>
            </w:r>
          </w:p>
        </w:tc>
        <w:tc>
          <w:tcPr>
            <w:tcW w:type="dxa" w:w="2880"/>
          </w:tcPr>
          <w:p>
            <w:r>
              <w:t>ACID compliance for corporate actions, index compositions.</w:t>
            </w:r>
          </w:p>
        </w:tc>
      </w:tr>
      <w:tr>
        <w:tc>
          <w:tcPr>
            <w:tcW w:type="dxa" w:w="2880"/>
          </w:tcPr>
          <w:p>
            <w:r>
              <w:t>Data Processing</w:t>
            </w:r>
          </w:p>
        </w:tc>
        <w:tc>
          <w:tcPr>
            <w:tcW w:type="dxa" w:w="2880"/>
          </w:tcPr>
          <w:p>
            <w:r>
              <w:t>Polars (Python)</w:t>
            </w:r>
          </w:p>
        </w:tc>
        <w:tc>
          <w:tcPr>
            <w:tcW w:type="dxa" w:w="2880"/>
          </w:tcPr>
          <w:p>
            <w:r>
              <w:t>10-50x faster than Pandas for bulk historical time-series operations.</w:t>
            </w:r>
          </w:p>
        </w:tc>
      </w:tr>
      <w:tr>
        <w:tc>
          <w:tcPr>
            <w:tcW w:type="dxa" w:w="2880"/>
          </w:tcPr>
          <w:p>
            <w:r>
              <w:t>API Layer</w:t>
            </w:r>
          </w:p>
        </w:tc>
        <w:tc>
          <w:tcPr>
            <w:tcW w:type="dxa" w:w="2880"/>
          </w:tcPr>
          <w:p>
            <w:r>
              <w:t>FastAPI + Pydantic</w:t>
            </w:r>
          </w:p>
        </w:tc>
        <w:tc>
          <w:tcPr>
            <w:tcW w:type="dxa" w:w="2880"/>
          </w:tcPr>
          <w:p>
            <w:r>
              <w:t>High performance async REST API for analytical query delivery.</w:t>
            </w:r>
          </w:p>
        </w:tc>
      </w:tr>
      <w:tr>
        <w:tc>
          <w:tcPr>
            <w:tcW w:type="dxa" w:w="2880"/>
          </w:tcPr>
          <w:p>
            <w:r>
              <w:t>Quality Gate</w:t>
            </w:r>
          </w:p>
        </w:tc>
        <w:tc>
          <w:tcPr>
            <w:tcW w:type="dxa" w:w="2880"/>
          </w:tcPr>
          <w:p>
            <w:r>
              <w:t>Great Expectations</w:t>
            </w:r>
          </w:p>
        </w:tc>
        <w:tc>
          <w:tcPr>
            <w:tcW w:type="dxa" w:w="2880"/>
          </w:tcPr>
          <w:p>
            <w:r>
              <w:t>Automated rules (e.g., circuit limit checks, High &gt;= Low validation).</w:t>
            </w:r>
          </w:p>
        </w:tc>
      </w:tr>
    </w:tbl>
    <w:p>
      <w:pPr>
        <w:pStyle w:val="Heading2"/>
      </w:pPr>
      <w:r>
        <w:t>6.2 Point-in-Time Index Composition (Survivorship Bias Mitigation)</w:t>
      </w:r>
    </w:p>
    <w:p>
      <w:r>
        <w:t>To combat yfinance's survivorship bias, the database MUST track historical index compositions. DDL structure: `index_composition_history (symbol, index_name, inclusion_date, exclusion_date, weight_pct)`. Any historical backtest must join against this table ensuring only stocks active on `T` are queried.</w:t>
      </w:r>
    </w:p>
    <w:p>
      <w:pPr>
        <w:pStyle w:val="Heading2"/>
      </w:pPr>
      <w:r>
        <w:t>6.3 Futures Roll Methodology</w:t>
      </w:r>
    </w:p>
    <w:p>
      <w:r>
        <w:t>F&amp;O contracts expire monthly. To create continuous series:</w:t>
        <w:br/>
        <w:t>1. Panama (Back-adjusted): Subtract price difference on roll day from historical series. (Preferred for technical indicators).</w:t>
        <w:br/>
        <w:t>2. Ratio (Proportional): Apply ratio multiplier (Preferred for % returns).</w:t>
        <w:br/>
        <w:t>3. NSE Roll Convention: Execute mathematical roll using Thursday mid-session price (12:00 PM) to avoid expiry volatility.</w:t>
      </w:r>
    </w:p>
    <w:p>
      <w:pPr>
        <w:pStyle w:val="Heading2"/>
      </w:pPr>
      <w:r>
        <w:t>6.4 Data Reconciliation Pipeline</w:t>
      </w:r>
    </w:p>
    <w:p>
      <w:r>
        <w:t>Broker WebSockets drop ticks during high volatility. A nightly reconciliation batch job must compare aggregated intraday volume against the official NSE EOD Bhavcopy. Discrepancies &gt; 2% require fetching missing intraday minute-bars via the Broker's REST API to patch the Time-Series DB.</w:t>
      </w:r>
    </w:p>
    <w:p>
      <w:pPr>
        <w:pStyle w:val="Heading1"/>
      </w:pPr>
      <w:r>
        <w:t>7. Implementation Roadmap (16 Weeks)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Focus</w:t>
            </w:r>
          </w:p>
        </w:tc>
        <w:tc>
          <w:tcPr>
            <w:tcW w:type="dxa" w:w="2880"/>
          </w:tcPr>
          <w:p>
            <w:r>
              <w:rPr>
                <w:b/>
              </w:rPr>
              <w:t>Key Deliverables</w:t>
            </w:r>
          </w:p>
        </w:tc>
      </w:tr>
      <w:tr>
        <w:tc>
          <w:tcPr>
            <w:tcW w:type="dxa" w:w="2880"/>
          </w:tcPr>
          <w:p>
            <w:r>
              <w:t>Phase 1 (Wk 1-4)</w:t>
            </w:r>
          </w:p>
        </w:tc>
        <w:tc>
          <w:tcPr>
            <w:tcW w:type="dxa" w:w="2880"/>
          </w:tcPr>
          <w:p>
            <w:r>
              <w:t>Data Foundation</w:t>
            </w:r>
          </w:p>
        </w:tc>
        <w:tc>
          <w:tcPr>
            <w:tcW w:type="dxa" w:w="2880"/>
          </w:tcPr>
          <w:p>
            <w:r>
              <w:t>PostgreSQL + TimescaleDB setup. NSE Bhavcopy + yfinance pipelines. Corp Action engine.</w:t>
            </w:r>
          </w:p>
        </w:tc>
      </w:tr>
      <w:tr>
        <w:tc>
          <w:tcPr>
            <w:tcW w:type="dxa" w:w="2880"/>
          </w:tcPr>
          <w:p>
            <w:r>
              <w:t>Phase 2 (Wk 5-8)</w:t>
            </w:r>
          </w:p>
        </w:tc>
        <w:tc>
          <w:tcPr>
            <w:tcW w:type="dxa" w:w="2880"/>
          </w:tcPr>
          <w:p>
            <w:r>
              <w:t>F&amp;O &amp; Live Data</w:t>
            </w:r>
          </w:p>
        </w:tc>
        <w:tc>
          <w:tcPr>
            <w:tcW w:type="dxa" w:w="2880"/>
          </w:tcPr>
          <w:p>
            <w:r>
              <w:t>Broker API integration (Shoonya). WebSocket consumer. Futures roll logic. SEBI OI ingest.</w:t>
            </w:r>
          </w:p>
        </w:tc>
      </w:tr>
      <w:tr>
        <w:tc>
          <w:tcPr>
            <w:tcW w:type="dxa" w:w="2880"/>
          </w:tcPr>
          <w:p>
            <w:r>
              <w:t>Phase 3 (Wk 9-12)</w:t>
            </w:r>
          </w:p>
        </w:tc>
        <w:tc>
          <w:tcPr>
            <w:tcW w:type="dxa" w:w="2880"/>
          </w:tcPr>
          <w:p>
            <w:r>
              <w:t>Quality &amp; Mastery</w:t>
            </w:r>
          </w:p>
        </w:tc>
        <w:tc>
          <w:tcPr>
            <w:tcW w:type="dxa" w:w="2880"/>
          </w:tcPr>
          <w:p>
            <w:r>
              <w:t>Great Expectations checks. Point-in-time index DDL. BSE XBRL parser. Demerger handling.</w:t>
            </w:r>
          </w:p>
        </w:tc>
      </w:tr>
      <w:tr>
        <w:tc>
          <w:tcPr>
            <w:tcW w:type="dxa" w:w="2880"/>
          </w:tcPr>
          <w:p>
            <w:r>
              <w:t>Phase 4 (Wk 13-16)</w:t>
            </w:r>
          </w:p>
        </w:tc>
        <w:tc>
          <w:tcPr>
            <w:tcW w:type="dxa" w:w="2880"/>
          </w:tcPr>
          <w:p>
            <w:r>
              <w:t>Analytics APIs</w:t>
            </w:r>
          </w:p>
        </w:tc>
        <w:tc>
          <w:tcPr>
            <w:tcW w:type="dxa" w:w="2880"/>
          </w:tcPr>
          <w:p>
            <w:r>
              <w:t>FastAPI query layer. Screener API. WebSocket reconciliation. Grafana dashboards.</w:t>
            </w:r>
          </w:p>
        </w:tc>
      </w:tr>
    </w:tbl>
    <w:p>
      <w:pPr>
        <w:pStyle w:val="Heading1"/>
      </w:pPr>
      <w:r>
        <w:t>8. Consolidated Omissions &amp; Justifications</w:t>
      </w:r>
    </w:p>
    <w:p>
      <w:r>
        <w:t>This architectural blueprint intentionally omits certain data sources and methodologies present in rudimentary designs. The justifications are as follows:</w:t>
      </w:r>
    </w:p>
    <w:p>
      <w:r>
        <w:t>1. Omission of Google Finance &amp; Stooq: Mentioned in baseline scans, these sources are excluded from the final architecture due to undocumented APIs, frequent unannounced rate-limiting, and poor coverage of mid/small-cap Indian equities. yfinance paired with NSE direct covers this requirement securely.</w:t>
      </w:r>
    </w:p>
    <w:p>
      <w:r>
        <w:t>2. Omission of Additive Dividend Adjustment: Some systems subtract absolute dividend values from history. We enforce the Proportional Adjustment method. Additive adjustments on high-yield stocks over decades result in negative historical prices, breaking logarithmic charts and Black-Scholes models.</w:t>
      </w:r>
    </w:p>
    <w:p>
      <w:r>
        <w:t>3. Omission of Forward Adjustment: Adjusting present prices to match history (Forward adjustment) destroys the relationship between today's real trading price and the chart. Only Backward Ratio Adjustment is permitted.</w:t>
      </w:r>
    </w:p>
    <w:p>
      <w:r>
        <w:t>4. Omission of HTML Scraping for Fundamentals: Excluded in favor of BSE XBRL parsing. HTML DOM structures for quarterly results change frequently, breaking pipelines. XBRL is a standardized, machine-readable XML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