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40"/>
      </w:pPr>
      <w:r>
        <w:rPr>
          <w:rFonts w:ascii="Times New Roman" w:hAnsi="Times New Roman" w:cs="Times New Roman"/>
          <w:rFonts w:ascii="Times New Roman" w:hAnsi="Times New Roman"/>
          <w:b w:val="0"/>
          <w:i w:val="0"/>
          <w:sz w:val="16"/>
        </w:rPr>
        <w:t>XXX-X-XXXX-XXXX-X/XX/$XX.00 ©2025 IEEE</w:t>
      </w:r>
    </w:p>
    <w:p>
      <w:pPr>
        <w:jc w:val="center"/>
        <w:spacing w:before="120" w:after="80"/>
      </w:pPr>
      <w:r>
        <w:rPr>
          <w:rFonts w:ascii="Times New Roman" w:hAnsi="Times New Roman" w:cs="Times New Roman"/>
          <w:rFonts w:ascii="Times New Roman" w:hAnsi="Times New Roman"/>
          <w:b w:val="0"/>
          <w:i w:val="0"/>
          <w:sz w:val="48"/>
        </w:rPr>
        <w:t>Adaptive Confidence-Guided Multi-Scale Vision Transformer</w:t>
        <w:br/>
        <w:t>Framework for Explainable Microscopic Fungal Species Classification</w:t>
      </w:r>
    </w:p>
    <w:tbl>
      <w:tblPr>
        <w:tblStyle w:val="TableGrid"/>
        <w:tblW w:type="auto" w:w="0"/>
        <w:jc w:val="center"/>
        <w:tblLook w:firstColumn="1" w:firstRow="1" w:lastColumn="0" w:lastRow="0" w:noHBand="0" w:noVBand="1" w:val="04A0"/>
      </w:tblPr>
      <w:tblGrid>
        <w:gridCol w:w="3387"/>
        <w:gridCol w:w="3387"/>
        <w:gridCol w:w="3387"/>
      </w:tblGrid>
      <w:tr>
        <w:tc>
          <w:tcPr>
            <w:tcW w:type="dxa" w:w="3387"/>
            <w:tcBorders>
              <w:top w:val="nil"/>
              <w:left w:val="nil"/>
              <w:bottom w:val="nil"/>
              <w:right w:val="nil"/>
              <w:insideH w:val="nil"/>
              <w:insideV w:val="nil"/>
            </w:tcBorders>
          </w:tcPr>
          <w:p>
            <w:pPr>
              <w:jc w:val="center"/>
              <w:spacing w:before="0" w:after="0"/>
            </w:pPr>
            <w:r>
              <w:rPr>
                <w:rFonts w:ascii="Times New Roman" w:hAnsi="Times New Roman" w:cs="Times New Roman"/>
                <w:rFonts w:ascii="Times New Roman" w:hAnsi="Times New Roman"/>
                <w:b w:val="0"/>
                <w:i w:val="0"/>
                <w:sz w:val="18"/>
              </w:rPr>
              <w:t>Rishi Jayanath A</w:t>
            </w:r>
          </w:p>
          <w:p>
            <w:pPr>
              <w:jc w:val="center"/>
              <w:spacing w:before="0" w:after="0"/>
            </w:pPr>
            <w:r>
              <w:rPr>
                <w:rFonts w:ascii="Times New Roman" w:hAnsi="Times New Roman" w:cs="Times New Roman"/>
                <w:rFonts w:ascii="Times New Roman" w:hAnsi="Times New Roman"/>
                <w:b w:val="0"/>
                <w:i/>
                <w:sz w:val="18"/>
              </w:rPr>
              <w:t>Dept. of Computer Science and Engineering</w:t>
            </w:r>
          </w:p>
          <w:p>
            <w:pPr>
              <w:jc w:val="center"/>
              <w:spacing w:before="0" w:after="0"/>
            </w:pPr>
            <w:r>
              <w:rPr>
                <w:rFonts w:ascii="Times New Roman" w:hAnsi="Times New Roman" w:cs="Times New Roman"/>
                <w:rFonts w:ascii="Times New Roman" w:hAnsi="Times New Roman"/>
                <w:b w:val="0"/>
                <w:i/>
                <w:sz w:val="18"/>
              </w:rPr>
              <w:t>Karunya Institute of Technology and Sciences</w:t>
            </w:r>
          </w:p>
          <w:p>
            <w:pPr>
              <w:jc w:val="center"/>
              <w:spacing w:before="0" w:after="0"/>
            </w:pPr>
            <w:r>
              <w:rPr>
                <w:rFonts w:ascii="Times New Roman" w:hAnsi="Times New Roman" w:cs="Times New Roman"/>
                <w:rFonts w:ascii="Times New Roman" w:hAnsi="Times New Roman"/>
                <w:b w:val="0"/>
                <w:i/>
                <w:sz w:val="18"/>
              </w:rPr>
              <w:t>Coimbatore, India</w:t>
            </w:r>
          </w:p>
          <w:p>
            <w:pPr>
              <w:jc w:val="center"/>
              <w:spacing w:before="0" w:after="0"/>
            </w:pPr>
            <w:r>
              <w:rPr>
                <w:rFonts w:ascii="Times New Roman" w:hAnsi="Times New Roman" w:cs="Times New Roman"/>
                <w:rFonts w:ascii="Times New Roman" w:hAnsi="Times New Roman"/>
                <w:b w:val="0"/>
                <w:i/>
                <w:sz w:val="18"/>
              </w:rPr>
              <w:t>rishi.jayanath@karunya.edu</w:t>
            </w:r>
          </w:p>
        </w:tc>
        <w:tc>
          <w:tcPr>
            <w:tcW w:type="dxa" w:w="3387"/>
            <w:tcBorders>
              <w:top w:val="nil"/>
              <w:left w:val="nil"/>
              <w:bottom w:val="nil"/>
              <w:right w:val="nil"/>
              <w:insideH w:val="nil"/>
              <w:insideV w:val="nil"/>
            </w:tcBorders>
          </w:tcPr>
          <w:p>
            <w:pPr>
              <w:jc w:val="center"/>
              <w:spacing w:before="0" w:after="0"/>
            </w:pPr>
            <w:r>
              <w:rPr>
                <w:rFonts w:ascii="Times New Roman" w:hAnsi="Times New Roman" w:cs="Times New Roman"/>
                <w:rFonts w:ascii="Times New Roman" w:hAnsi="Times New Roman"/>
                <w:b w:val="0"/>
                <w:i w:val="0"/>
                <w:sz w:val="18"/>
              </w:rPr>
              <w:t>[Co-author 2 Name]</w:t>
            </w:r>
          </w:p>
          <w:p>
            <w:pPr>
              <w:jc w:val="center"/>
              <w:spacing w:before="0" w:after="0"/>
            </w:pPr>
            <w:r>
              <w:rPr>
                <w:rFonts w:ascii="Times New Roman" w:hAnsi="Times New Roman" w:cs="Times New Roman"/>
                <w:rFonts w:ascii="Times New Roman" w:hAnsi="Times New Roman"/>
                <w:b w:val="0"/>
                <w:i/>
                <w:sz w:val="18"/>
              </w:rPr>
              <w:t>[Department]</w:t>
            </w:r>
          </w:p>
          <w:p>
            <w:pPr>
              <w:jc w:val="center"/>
              <w:spacing w:before="0" w:after="0"/>
            </w:pPr>
            <w:r>
              <w:rPr>
                <w:rFonts w:ascii="Times New Roman" w:hAnsi="Times New Roman" w:cs="Times New Roman"/>
                <w:rFonts w:ascii="Times New Roman" w:hAnsi="Times New Roman"/>
                <w:b w:val="0"/>
                <w:i/>
                <w:sz w:val="18"/>
              </w:rPr>
              <w:t>[Institution]</w:t>
            </w:r>
          </w:p>
          <w:p>
            <w:pPr>
              <w:jc w:val="center"/>
              <w:spacing w:before="0" w:after="0"/>
            </w:pPr>
            <w:r>
              <w:rPr>
                <w:rFonts w:ascii="Times New Roman" w:hAnsi="Times New Roman" w:cs="Times New Roman"/>
                <w:rFonts w:ascii="Times New Roman" w:hAnsi="Times New Roman"/>
                <w:b w:val="0"/>
                <w:i/>
                <w:sz w:val="18"/>
              </w:rPr>
              <w:t>[City, Country]</w:t>
            </w:r>
          </w:p>
          <w:p>
            <w:pPr>
              <w:jc w:val="center"/>
              <w:spacing w:before="0" w:after="0"/>
            </w:pPr>
            <w:r>
              <w:rPr>
                <w:rFonts w:ascii="Times New Roman" w:hAnsi="Times New Roman" w:cs="Times New Roman"/>
                <w:rFonts w:ascii="Times New Roman" w:hAnsi="Times New Roman"/>
                <w:b w:val="0"/>
                <w:i/>
                <w:sz w:val="18"/>
              </w:rPr>
              <w:t>[email]</w:t>
            </w:r>
          </w:p>
        </w:tc>
        <w:tc>
          <w:tcPr>
            <w:tcW w:type="dxa" w:w="3387"/>
            <w:tcBorders>
              <w:top w:val="nil"/>
              <w:left w:val="nil"/>
              <w:bottom w:val="nil"/>
              <w:right w:val="nil"/>
              <w:insideH w:val="nil"/>
              <w:insideV w:val="nil"/>
            </w:tcBorders>
          </w:tcPr>
          <w:p>
            <w:pPr>
              <w:jc w:val="center"/>
              <w:spacing w:before="0" w:after="0"/>
            </w:pPr>
            <w:r>
              <w:rPr>
                <w:rFonts w:ascii="Times New Roman" w:hAnsi="Times New Roman" w:cs="Times New Roman"/>
                <w:rFonts w:ascii="Times New Roman" w:hAnsi="Times New Roman"/>
                <w:b w:val="0"/>
                <w:i w:val="0"/>
                <w:sz w:val="18"/>
              </w:rPr>
              <w:t>[Co-author 3 Name]</w:t>
            </w:r>
          </w:p>
          <w:p>
            <w:pPr>
              <w:jc w:val="center"/>
              <w:spacing w:before="0" w:after="0"/>
            </w:pPr>
            <w:r>
              <w:rPr>
                <w:rFonts w:ascii="Times New Roman" w:hAnsi="Times New Roman" w:cs="Times New Roman"/>
                <w:rFonts w:ascii="Times New Roman" w:hAnsi="Times New Roman"/>
                <w:b w:val="0"/>
                <w:i/>
                <w:sz w:val="18"/>
              </w:rPr>
              <w:t>[Department]</w:t>
            </w:r>
          </w:p>
          <w:p>
            <w:pPr>
              <w:jc w:val="center"/>
              <w:spacing w:before="0" w:after="0"/>
            </w:pPr>
            <w:r>
              <w:rPr>
                <w:rFonts w:ascii="Times New Roman" w:hAnsi="Times New Roman" w:cs="Times New Roman"/>
                <w:rFonts w:ascii="Times New Roman" w:hAnsi="Times New Roman"/>
                <w:b w:val="0"/>
                <w:i/>
                <w:sz w:val="18"/>
              </w:rPr>
              <w:t>[Institution]</w:t>
            </w:r>
          </w:p>
          <w:p>
            <w:pPr>
              <w:jc w:val="center"/>
              <w:spacing w:before="0" w:after="0"/>
            </w:pPr>
            <w:r>
              <w:rPr>
                <w:rFonts w:ascii="Times New Roman" w:hAnsi="Times New Roman" w:cs="Times New Roman"/>
                <w:rFonts w:ascii="Times New Roman" w:hAnsi="Times New Roman"/>
                <w:b w:val="0"/>
                <w:i/>
                <w:sz w:val="18"/>
              </w:rPr>
              <w:t>[City, Country]</w:t>
            </w:r>
          </w:p>
          <w:p>
            <w:pPr>
              <w:jc w:val="center"/>
              <w:spacing w:before="0" w:after="0"/>
            </w:pPr>
            <w:r>
              <w:rPr>
                <w:rFonts w:ascii="Times New Roman" w:hAnsi="Times New Roman" w:cs="Times New Roman"/>
                <w:rFonts w:ascii="Times New Roman" w:hAnsi="Times New Roman"/>
                <w:b w:val="0"/>
                <w:i/>
                <w:sz w:val="18"/>
              </w:rPr>
              <w:t>[email]</w:t>
            </w:r>
          </w:p>
        </w:tc>
      </w:tr>
    </w:tbl>
    <w:p/>
    <w:p>
      <w:pPr>
        <w:jc w:val="both"/>
        <w:spacing w:before="40" w:after="40"/>
      </w:pPr>
      <w:r>
        <w:rPr>
          <w:rFonts w:ascii="Times New Roman" w:hAnsi="Times New Roman" w:cs="Times New Roman"/>
          <w:rFonts w:ascii="Times New Roman" w:hAnsi="Times New Roman"/>
          <w:b/>
          <w:i/>
          <w:sz w:val="18"/>
        </w:rPr>
        <w:t>Abstract—</w:t>
      </w:r>
      <w:r>
        <w:rPr>
          <w:rFonts w:ascii="Times New Roman" w:hAnsi="Times New Roman" w:cs="Times New Roman"/>
          <w:rFonts w:ascii="Times New Roman" w:hAnsi="Times New Roman"/>
          <w:b w:val="0"/>
          <w:i w:val="0"/>
          <w:sz w:val="18"/>
        </w:rPr>
        <w:t>Pathogenic fungi are not easily identified in the wild. Pathogenic fungi are difficult to identify in the field. The task of making scopic slides is still primarily one that requires training from human eyes — a point of delay in clinical decisions and an introduction of inter-observer error. In this paper we present an Adaptive We propose a new confidence-guided multi-scale fusion framework called as ACMF. It uses two encoders, namely runs two Vision Transformer (ViT-B/16) encoders at different Input resolutions — 224 x 384 pixels — and merges together their Produces four different ways of fusing its outputs. These range from simple averaging (S1) and accuracy-weighted blending (AW1) methods. from simple averaging (S1) and accuracy-weighted blending (AW1) techniques. The novel per-image entropy-based weighting scheme (S3) was compared to a typical watermarking method (S2). and an expert MLP fusion head (S4). Experiments on the The DeFungi benchmark is for five clinically relevant fungal The accuracy of each species identification was demonstrated with 6,801 microscopic images. The best weight per-ent variant is S2 with a macro F1 of 91.63% on the held-out test set — a 3.16 point gain over ViT-B/16-224 used alone. We also generate maps at inference time — Attention Rollout. indicate on the model the structures of the hyphae and spores. handles without any additional markings. Comparisons The rest of the lineup consists of with ResNet-50, EfficientNet-B3 and Swin-Tiny. evaluation and explain how the ACMF approach is the most beneficial value.</w:t>
      </w:r>
    </w:p>
    <w:p>
      <w:pPr>
        <w:jc w:val="both"/>
        <w:spacing w:before="0" w:after="80"/>
      </w:pPr>
      <w:r>
        <w:rPr>
          <w:rFonts w:ascii="Times New Roman" w:hAnsi="Times New Roman" w:cs="Times New Roman"/>
          <w:rFonts w:ascii="Times New Roman" w:hAnsi="Times New Roman"/>
          <w:b/>
          <w:i/>
          <w:sz w:val="18"/>
        </w:rPr>
        <w:t>Keywords—</w:t>
      </w:r>
      <w:r>
        <w:rPr>
          <w:rFonts w:ascii="Times New Roman" w:hAnsi="Times New Roman" w:cs="Times New Roman"/>
          <w:rFonts w:ascii="Times New Roman" w:hAnsi="Times New Roman"/>
          <w:b w:val="0"/>
          <w:i/>
          <w:sz w:val="18"/>
        </w:rPr>
        <w:t>fungal classification, vision transformer, multi-task learning, deep learning, deep vision. Nearly every field needs to understand how to leverage AI-driven tools such as explainable AI, a fusion of several scales, and attention rollout. DeFungi, microscopy</w:t>
      </w:r>
    </w:p>
    <w:p>
      <w:pPr>
        <w:spacing w:before="0" w:after="0"/>
        <w:sectPr>
          <w:cols w:num="2" w:space="567" w:equalWidth="1"/>
          <w:pgSz w:w="11905" w:h="16837"/>
          <w:pgMar w:top="1077" w:bottom="1440" w:left="873" w:right="873"/>
        </w:sectPr>
      </w:pPr>
    </w:p>
    <w:p>
      <w:pPr>
        <w:jc w:val="center"/>
        <w:spacing w:before="100" w:after="40"/>
      </w:pPr>
      <w:r>
        <w:rPr>
          <w:rFonts w:ascii="Times New Roman" w:hAnsi="Times New Roman" w:cs="Times New Roman"/>
          <w:rFonts w:ascii="Times New Roman" w:hAnsi="Times New Roman"/>
          <w:b w:val="0"/>
          <w:i w:val="0"/>
          <w:sz w:val="20"/>
        </w:rPr>
        <w:t>I. INTRODUCTION</w:t>
      </w:r>
    </w:p>
    <w:p>
      <w:pPr>
        <w:jc w:val="both"/>
        <w:spacing w:before="0" w:after="40"/>
        <w:ind w:firstLine="360"/>
      </w:pPr>
      <w:r>
        <w:rPr>
          <w:rFonts w:ascii="Times New Roman" w:hAnsi="Times New Roman" w:cs="Times New Roman"/>
          <w:rFonts w:ascii="Times New Roman" w:hAnsi="Times New Roman"/>
          <w:b w:val="0"/>
          <w:i w:val="0"/>
          <w:sz w:val="20"/>
        </w:rPr>
        <w:t>About 1.5 million people per year are killed by fungal infections. and have an impact on more than a billion [1]. What makes this burden? What makes this burden? What is particularly frustrating is the majority of the species responsible are… are well-known. Five of them are the most prevalent clinical dermatophytes. Complete blood count (CBC): Leucocytes, lymphocytes, neutrophils, eosinophils, platelets, and blood cells niger, Trichophyton rubrum, Trichophyton mentagrophytes, and Epidermophyton floccosum. They each have a different antifungal agent, and it is not only incorrect diagnosis that is a problem. An academic issue; has direct treatment implications.</w:t>
      </w:r>
    </w:p>
    <w:p>
      <w:pPr>
        <w:jc w:val="both"/>
        <w:spacing w:before="0" w:after="40"/>
        <w:ind w:firstLine="360"/>
      </w:pPr>
      <w:r>
        <w:rPr>
          <w:rFonts w:ascii="Times New Roman" w:hAnsi="Times New Roman" w:cs="Times New Roman"/>
          <w:rFonts w:ascii="Times New Roman" w:hAnsi="Times New Roman"/>
          <w:b w:val="0"/>
          <w:i w:val="0"/>
          <w:sz w:val="20"/>
        </w:rPr>
        <w:t>The traditional approach is direct microscopic examination, which is examined by a trained microscopist who examines a stained specimen. distinguishes morphological clues — branching pattern of hyphae, The size of the spores and the arrangement of spores, the shape of the conidial heads — Differentiate between species. Works, but will be slow, Requires several years of practice and any mycologist will Have a disagreement with challenging objects [2]. Deep learning has made However, there are not any significant advances in related problems in pathology that have been made by real application of the method. It is subtlety to microscopic fungi that has been easy to Overlook: the features to be considered are distributed over a number of spatial scales at once. They are relatively coarse, with budding clusters that look like yeast in the shape of buds. and easily visible at normal resolution; fine hyphal wall It is only possible to resolve the thicknesses and septum spacings at. higher resolution. A model trained at a single fixed scale should A compromise between these two regimes.</w:t>
      </w:r>
    </w:p>
    <w:p>
      <w:pPr>
        <w:jc w:val="both"/>
        <w:spacing w:before="0" w:after="40"/>
        <w:ind w:firstLine="360"/>
      </w:pPr>
      <w:r>
        <w:rPr>
          <w:rFonts w:ascii="Times New Roman" w:hAnsi="Times New Roman" w:cs="Times New Roman"/>
          <w:rFonts w:ascii="Times New Roman" w:hAnsi="Times New Roman"/>
          <w:b w:val="0"/>
          <w:i w:val="0"/>
          <w:sz w:val="20"/>
        </w:rPr>
        <w:t>Here, Vision Transformers [4] are a logical choice. Their global Self-attention may be able to capture long-range spatial regularities that The word vanishes from the vocabulary of convolutional filters and patch-based tokenisation produces new words. the resolution a tunable parameter. Although even ViT, if used at a Single scale, leaves complementary information in the table. This is the starting point of our work.</w:t>
      </w:r>
    </w:p>
    <w:p>
      <w:pPr>
        <w:jc w:val="both"/>
        <w:spacing w:before="0" w:after="40"/>
        <w:ind w:firstLine="360"/>
      </w:pPr>
      <w:r>
        <w:rPr>
          <w:rFonts w:ascii="Times New Roman" w:hAnsi="Times New Roman" w:cs="Times New Roman"/>
          <w:rFonts w:ascii="Times New Roman" w:hAnsi="Times New Roman"/>
          <w:b w:val="0"/>
          <w:i w:val="0"/>
          <w:sz w:val="20"/>
        </w:rPr>
        <w:t>The Adaptive Confidence-Guided Multi- is a new algorithm for solving the rotational pose estimation problem. The framework for scale fusion (ACMF) is used with the ViT-B/16 model at If the 224 and 384 pixels, then merges the two sets of classes probabilities. Four strategies are studied — simple averaging Additional validation accuracy weighting (S2), per-image entropy (S3). A learned MLP gate (S4) — so that the comparison is an informative about what kind of Combine the actual task the student needs to perform. In addition to accuracy, S3 generates an explicit image level confidence signal to be given to a clinician. Which resolution was more informative to the model for each specimen. Additionally, we have also included Attention Rollout maps [8] All predictions were based on recognisable criteria. morphological structures.</w:t>
      </w:r>
    </w:p>
    <w:p>
      <w:pPr>
        <w:jc w:val="center"/>
        <w:spacing w:before="100" w:after="40"/>
      </w:pPr>
      <w:r>
        <w:rPr>
          <w:rFonts w:ascii="Times New Roman" w:hAnsi="Times New Roman" w:cs="Times New Roman"/>
          <w:rFonts w:ascii="Times New Roman" w:hAnsi="Times New Roman"/>
          <w:b w:val="0"/>
          <w:i w:val="0"/>
          <w:sz w:val="20"/>
        </w:rPr>
        <w:t>II. RELATED WORK</w:t>
      </w:r>
    </w:p>
    <w:p>
      <w:pPr>
        <w:jc w:val="left"/>
        <w:spacing w:before="60" w:after="20"/>
      </w:pPr>
      <w:r>
        <w:rPr>
          <w:rFonts w:ascii="Times New Roman" w:hAnsi="Times New Roman" w:cs="Times New Roman"/>
          <w:rFonts w:ascii="Times New Roman" w:hAnsi="Times New Roman"/>
          <w:b w:val="0"/>
          <w:i/>
          <w:sz w:val="20"/>
        </w:rPr>
        <w:t>A. Bacteria, viruses, fungi and dermatological image classification</w:t>
      </w:r>
    </w:p>
    <w:p>
      <w:pPr>
        <w:jc w:val="both"/>
        <w:spacing w:before="0" w:after="40"/>
        <w:ind w:firstLine="360"/>
      </w:pPr>
      <w:r>
        <w:rPr>
          <w:rFonts w:ascii="Times New Roman" w:hAnsi="Times New Roman" w:cs="Times New Roman"/>
          <w:rFonts w:ascii="Times New Roman" w:hAnsi="Times New Roman"/>
          <w:b w:val="0"/>
          <w:i w:val="0"/>
          <w:sz w:val="20"/>
        </w:rPr>
        <w:t>Before deep learning took hold, automated fungal iden- Hand-crafted texture descriptors like were used for tification. LBP and GLCM classifiers were combined with SVM classifiers. These pipelines needed a lot of feature engineering and was generalised badly. across staining protocols. Transfer-learned CNNs changed Significantly reduce the picture: ResNet [5] and EfficientNet [6] showed that large-scale pretraining and task-specific fine-tuning could be very effective. specific fine-tuning might be a great idea on skin lesion Benchmarks and then on microscopic fungal data sets. The Cassagne et al. DeFungi [10] showed that: The transfer-learned CNNs could distinguish the five target species with In a fair degree of accuracy, but there is some confusion between Aspergillus However, the and genera of Trichophyton continued to be a nuisance — The gap which we directly tackle here.</w:t>
      </w:r>
    </w:p>
    <w:p>
      <w:pPr>
        <w:jc w:val="left"/>
        <w:spacing w:before="60" w:after="20"/>
      </w:pPr>
      <w:r>
        <w:rPr>
          <w:rFonts w:ascii="Times New Roman" w:hAnsi="Times New Roman" w:cs="Times New Roman"/>
          <w:rFonts w:ascii="Times New Roman" w:hAnsi="Times New Roman"/>
          <w:b w:val="0"/>
          <w:i/>
          <w:sz w:val="20"/>
        </w:rPr>
        <w:t>B. AI in Healthcare Marketing and Communications</w:t>
      </w:r>
    </w:p>
    <w:p>
      <w:pPr>
        <w:jc w:val="both"/>
        <w:spacing w:before="0" w:after="40"/>
        <w:ind w:firstLine="360"/>
      </w:pPr>
      <w:r>
        <w:rPr>
          <w:rFonts w:ascii="Times New Roman" w:hAnsi="Times New Roman" w:cs="Times New Roman"/>
          <w:rFonts w:ascii="Times New Roman" w:hAnsi="Times New Roman"/>
          <w:b w:val="0"/>
          <w:i w:val="0"/>
          <w:sz w:val="20"/>
        </w:rPr>
        <w:t>In 2020, ViT [4] came to be and gave rise to a quick surge of Medical images analysis applications. TransMed [17] adapted Multi-sequence MRI classification using cross-modal attention. This study employed another architectural strategy, the Swin Transformer [7]. — hierarchical shifted windows which create a spatial pyramid. Within one model — and particularly on the DPD model. tasks that must be performed simultaneously with sensitivity to local texture. global structure. The dual-resolution ViT encoders are applied to Handling the microscopic image of fungi and examination of their predictions. This has not been reported before with the exception of the case where should be fused.</w:t>
      </w:r>
    </w:p>
    <w:p>
      <w:pPr>
        <w:jc w:val="left"/>
        <w:spacing w:before="60" w:after="20"/>
      </w:pPr>
      <w:r>
        <w:rPr>
          <w:rFonts w:ascii="Times New Roman" w:hAnsi="Times New Roman" w:cs="Times New Roman"/>
          <w:rFonts w:ascii="Times New Roman" w:hAnsi="Times New Roman"/>
          <w:b w:val="0"/>
          <w:i/>
          <w:sz w:val="20"/>
        </w:rPr>
        <w:t>C. Multi-Scale Fusion and Confidence Weighting</w:t>
      </w:r>
    </w:p>
    <w:p>
      <w:pPr>
        <w:jc w:val="both"/>
        <w:spacing w:before="0" w:after="40"/>
        <w:ind w:firstLine="360"/>
      </w:pPr>
      <w:r>
        <w:rPr>
          <w:rFonts w:ascii="Times New Roman" w:hAnsi="Times New Roman" w:cs="Times New Roman"/>
          <w:rFonts w:ascii="Times New Roman" w:hAnsi="Times New Roman"/>
          <w:b w:val="0"/>
          <w:i w:val="0"/>
          <w:sz w:val="20"/>
        </w:rPr>
        <w:t>There is a vast amount of experience with multi-scale strategies in object detec- Most of the fusion work has been done through feature pyramid networks [11], but not this. in classification does not work at the prediction level, but rather at the feature level. level. Probability-level ensembling is less complicated and does not need any between encoders, and — importantly — admits non-parametric confidence weighting as in attention-, a random variable that is independent of the outcome. are determined by multiple-instance learning [12] are sampled from the model’s prediction distribution. Our The idea is extended to the multi-resolution setting with S3 strategy.</w:t>
      </w:r>
    </w:p>
    <w:p>
      <w:pPr>
        <w:jc w:val="left"/>
        <w:spacing w:before="60" w:after="20"/>
      </w:pPr>
      <w:r>
        <w:rPr>
          <w:rFonts w:ascii="Times New Roman" w:hAnsi="Times New Roman" w:cs="Times New Roman"/>
          <w:rFonts w:ascii="Times New Roman" w:hAnsi="Times New Roman"/>
          <w:b w:val="0"/>
          <w:i/>
          <w:sz w:val="20"/>
        </w:rPr>
        <w:t>D. Clinical Models Explainability</w:t>
      </w:r>
    </w:p>
    <w:p>
      <w:pPr>
        <w:jc w:val="both"/>
        <w:spacing w:before="0" w:after="40"/>
        <w:ind w:firstLine="360"/>
      </w:pPr>
      <w:r>
        <w:rPr>
          <w:rFonts w:ascii="Times New Roman" w:hAnsi="Times New Roman" w:cs="Times New Roman"/>
          <w:rFonts w:ascii="Times New Roman" w:hAnsi="Times New Roman"/>
          <w:b w:val="0"/>
          <w:i w:val="0"/>
          <w:sz w:val="20"/>
        </w:rPr>
        <w:t>Since then, Grad-CAM [9] has been the most popular attribution method for Medical imaging CNNs. The situation is the same for transformers. less settled. There is a principled alternative, Attention Rollout [8]. architecture that allows it to propagate the multi-head attention to each layer that Spatial coherent attribution through residual correction. Building maps without the need to perform backpropagation. That gradient-free The practicality of property makes it applicable in inference-only deployments, and This is frequently the case with clinical software.</w:t>
      </w:r>
    </w:p>
    <w:p>
      <w:pPr>
        <w:jc w:val="center"/>
        <w:spacing w:before="100" w:after="40"/>
      </w:pPr>
      <w:r>
        <w:rPr>
          <w:rFonts w:ascii="Times New Roman" w:hAnsi="Times New Roman" w:cs="Times New Roman"/>
          <w:rFonts w:ascii="Times New Roman" w:hAnsi="Times New Roman"/>
          <w:b w:val="0"/>
          <w:i w:val="0"/>
          <w:sz w:val="20"/>
        </w:rPr>
        <w:t>III. DATASET AND PREPROCESSING</w:t>
      </w:r>
    </w:p>
    <w:p>
      <w:pPr>
        <w:jc w:val="left"/>
        <w:spacing w:before="60" w:after="20"/>
      </w:pPr>
      <w:r>
        <w:rPr>
          <w:rFonts w:ascii="Times New Roman" w:hAnsi="Times New Roman" w:cs="Times New Roman"/>
          <w:rFonts w:ascii="Times New Roman" w:hAnsi="Times New Roman"/>
          <w:b w:val="0"/>
          <w:i/>
          <w:sz w:val="20"/>
        </w:rPr>
        <w:t>A. DeFungi Benchmark</w:t>
      </w:r>
    </w:p>
    <w:p>
      <w:pPr>
        <w:jc w:val="both"/>
        <w:spacing w:before="0" w:after="40"/>
        <w:ind w:firstLine="360"/>
      </w:pPr>
      <w:r>
        <w:rPr>
          <w:rFonts w:ascii="Times New Roman" w:hAnsi="Times New Roman" w:cs="Times New Roman"/>
          <w:rFonts w:ascii="Times New Roman" w:hAnsi="Times New Roman"/>
          <w:b w:val="0"/>
          <w:i w:val="0"/>
          <w:sz w:val="20"/>
        </w:rPr>
        <w:t>DeFungi [10] is a publicly available collection of bright- The author discusses the application of microscopy in the field in order to obtain microscopic images from direct mycological exams. tions, including five species. We use an official split through- out: 5,000 training, 899 validation, and 902 test images. Table I Analyzes the distribution of classes. Two things are worth noticing: There are two items to note: noting: C. albicans (H1) accounts for 40% of the training samples and In contrast, E. floccosum (H6) only accounts for 10%, so this results in a A moderate imbalance that must be made up for by augmentation. The size of the validation and test splits is smaller compared to the size of the training set for a few classes (H3, H5 and H6) the total number of students is smaller. A few specimens, that still exist in the original collection.</w:t>
      </w:r>
    </w:p>
    <w:p>
      <w:pPr>
        <w:jc w:val="center"/>
        <w:spacing w:before="60" w:after="20"/>
      </w:pPr>
      <w:r>
        <w:rPr>
          <w:rFonts w:ascii="Times New Roman" w:hAnsi="Times New Roman" w:cs="Times New Roman"/>
          <w:rFonts w:ascii="Times New Roman" w:hAnsi="Times New Roman"/>
          <w:b/>
          <w:i w:val="0"/>
          <w:sz w:val="18"/>
        </w:rPr>
        <w:t>TABLE I.    DEFUNGI DATASET CLASS DISTRIBUTION</w:t>
      </w:r>
    </w:p>
    <w:tbl>
      <w:tblPr>
        <w:tblStyle w:val="TableGrid"/>
        <w:tblW w:type="auto" w:w="0"/>
        <w:jc w:val="center"/>
        <w:tblLook w:firstColumn="1" w:firstRow="1" w:lastColumn="0" w:lastRow="0" w:noHBand="0" w:noVBand="1" w:val="04A0"/>
      </w:tblPr>
      <w:tblGrid>
        <w:gridCol w:w="2032"/>
        <w:gridCol w:w="2032"/>
        <w:gridCol w:w="2032"/>
        <w:gridCol w:w="2032"/>
        <w:gridCol w:w="2032"/>
      </w:tblGrid>
      <w:tr>
        <w:tc>
          <w:tcPr>
            <w:tcW w:type="dxa" w:w="2032"/>
          </w:tcPr>
          <w:p>
            <w:pPr>
              <w:jc w:val="center"/>
            </w:pPr>
            <w:r>
              <w:rPr>
                <w:rFonts w:ascii="Times New Roman" w:hAnsi="Times New Roman" w:cs="Times New Roman"/>
                <w:rFonts w:ascii="Times New Roman" w:hAnsi="Times New Roman"/>
                <w:b/>
                <w:i w:val="0"/>
                <w:sz w:val="18"/>
              </w:rPr>
              <w:t>ID</w:t>
            </w:r>
          </w:p>
        </w:tc>
        <w:tc>
          <w:tcPr>
            <w:tcW w:type="dxa" w:w="2032"/>
          </w:tcPr>
          <w:p>
            <w:pPr>
              <w:jc w:val="center"/>
            </w:pPr>
            <w:r>
              <w:rPr>
                <w:rFonts w:ascii="Times New Roman" w:hAnsi="Times New Roman" w:cs="Times New Roman"/>
                <w:rFonts w:ascii="Times New Roman" w:hAnsi="Times New Roman"/>
                <w:b/>
                <w:i w:val="0"/>
                <w:sz w:val="18"/>
              </w:rPr>
              <w:t>Species</w:t>
            </w:r>
          </w:p>
        </w:tc>
        <w:tc>
          <w:tcPr>
            <w:tcW w:type="dxa" w:w="2032"/>
          </w:tcPr>
          <w:p>
            <w:pPr>
              <w:jc w:val="center"/>
            </w:pPr>
            <w:r>
              <w:rPr>
                <w:rFonts w:ascii="Times New Roman" w:hAnsi="Times New Roman" w:cs="Times New Roman"/>
                <w:rFonts w:ascii="Times New Roman" w:hAnsi="Times New Roman"/>
                <w:b/>
                <w:i w:val="0"/>
                <w:sz w:val="18"/>
              </w:rPr>
              <w:t>Train</w:t>
            </w:r>
          </w:p>
        </w:tc>
        <w:tc>
          <w:tcPr>
            <w:tcW w:type="dxa" w:w="2032"/>
          </w:tcPr>
          <w:p>
            <w:pPr>
              <w:jc w:val="center"/>
            </w:pPr>
            <w:r>
              <w:rPr>
                <w:rFonts w:ascii="Times New Roman" w:hAnsi="Times New Roman" w:cs="Times New Roman"/>
                <w:rFonts w:ascii="Times New Roman" w:hAnsi="Times New Roman"/>
                <w:b/>
                <w:i w:val="0"/>
                <w:sz w:val="18"/>
              </w:rPr>
              <w:t>Val</w:t>
            </w:r>
          </w:p>
        </w:tc>
        <w:tc>
          <w:tcPr>
            <w:tcW w:type="dxa" w:w="2032"/>
          </w:tcPr>
          <w:p>
            <w:pPr>
              <w:jc w:val="center"/>
            </w:pPr>
            <w:r>
              <w:rPr>
                <w:rFonts w:ascii="Times New Roman" w:hAnsi="Times New Roman" w:cs="Times New Roman"/>
                <w:rFonts w:ascii="Times New Roman" w:hAnsi="Times New Roman"/>
                <w:b/>
                <w:i w:val="0"/>
                <w:sz w:val="18"/>
              </w:rPr>
              <w:t>Test</w:t>
            </w:r>
          </w:p>
        </w:tc>
      </w:tr>
      <w:tr>
        <w:tc>
          <w:tcPr>
            <w:tcW w:type="dxa" w:w="2032"/>
          </w:tcPr>
          <w:p>
            <w:pPr>
              <w:jc w:val="center"/>
            </w:pPr>
            <w:r>
              <w:rPr>
                <w:rFonts w:ascii="Times New Roman" w:hAnsi="Times New Roman" w:cs="Times New Roman"/>
                <w:rFonts w:ascii="Times New Roman" w:hAnsi="Times New Roman"/>
                <w:b w:val="0"/>
                <w:i w:val="0"/>
                <w:sz w:val="18"/>
              </w:rPr>
              <w:t>H1</w:t>
            </w:r>
          </w:p>
        </w:tc>
        <w:tc>
          <w:tcPr>
            <w:tcW w:type="dxa" w:w="2032"/>
          </w:tcPr>
          <w:p>
            <w:pPr>
              <w:jc w:val="center"/>
            </w:pPr>
            <w:r>
              <w:rPr>
                <w:rFonts w:ascii="Times New Roman" w:hAnsi="Times New Roman" w:cs="Times New Roman"/>
                <w:rFonts w:ascii="Times New Roman" w:hAnsi="Times New Roman"/>
                <w:b w:val="0"/>
                <w:i/>
                <w:sz w:val="18"/>
              </w:rPr>
              <w:t>C. albicans</w:t>
            </w:r>
          </w:p>
        </w:tc>
        <w:tc>
          <w:tcPr>
            <w:tcW w:type="dxa" w:w="2032"/>
          </w:tcPr>
          <w:p>
            <w:pPr>
              <w:jc w:val="center"/>
            </w:pPr>
            <w:r>
              <w:rPr>
                <w:rFonts w:ascii="Times New Roman" w:hAnsi="Times New Roman" w:cs="Times New Roman"/>
                <w:rFonts w:ascii="Times New Roman" w:hAnsi="Times New Roman"/>
                <w:b w:val="0"/>
                <w:i w:val="0"/>
                <w:sz w:val="18"/>
              </w:rPr>
              <w:t>2,000</w:t>
            </w:r>
          </w:p>
        </w:tc>
        <w:tc>
          <w:tcPr>
            <w:tcW w:type="dxa" w:w="2032"/>
          </w:tcPr>
          <w:p>
            <w:pPr>
              <w:jc w:val="center"/>
            </w:pPr>
            <w:r>
              <w:rPr>
                <w:rFonts w:ascii="Times New Roman" w:hAnsi="Times New Roman" w:cs="Times New Roman"/>
                <w:rFonts w:ascii="Times New Roman" w:hAnsi="Times New Roman"/>
                <w:b w:val="0"/>
                <w:i w:val="0"/>
                <w:sz w:val="18"/>
              </w:rPr>
              <w:t>437</w:t>
            </w:r>
          </w:p>
        </w:tc>
        <w:tc>
          <w:tcPr>
            <w:tcW w:type="dxa" w:w="2032"/>
          </w:tcPr>
          <w:p>
            <w:pPr>
              <w:jc w:val="center"/>
            </w:pPr>
            <w:r>
              <w:rPr>
                <w:rFonts w:ascii="Times New Roman" w:hAnsi="Times New Roman" w:cs="Times New Roman"/>
                <w:rFonts w:ascii="Times New Roman" w:hAnsi="Times New Roman"/>
                <w:b w:val="0"/>
                <w:i w:val="0"/>
                <w:sz w:val="18"/>
              </w:rPr>
              <w:t>437</w:t>
            </w:r>
          </w:p>
        </w:tc>
      </w:tr>
      <w:tr>
        <w:tc>
          <w:tcPr>
            <w:tcW w:type="dxa" w:w="2032"/>
          </w:tcPr>
          <w:p>
            <w:pPr>
              <w:jc w:val="center"/>
            </w:pPr>
            <w:r>
              <w:rPr>
                <w:rFonts w:ascii="Times New Roman" w:hAnsi="Times New Roman" w:cs="Times New Roman"/>
                <w:rFonts w:ascii="Times New Roman" w:hAnsi="Times New Roman"/>
                <w:b w:val="0"/>
                <w:i w:val="0"/>
                <w:sz w:val="18"/>
              </w:rPr>
              <w:t>H2</w:t>
            </w:r>
          </w:p>
        </w:tc>
        <w:tc>
          <w:tcPr>
            <w:tcW w:type="dxa" w:w="2032"/>
          </w:tcPr>
          <w:p>
            <w:pPr>
              <w:jc w:val="center"/>
            </w:pPr>
            <w:r>
              <w:rPr>
                <w:rFonts w:ascii="Times New Roman" w:hAnsi="Times New Roman" w:cs="Times New Roman"/>
                <w:rFonts w:ascii="Times New Roman" w:hAnsi="Times New Roman"/>
                <w:b w:val="0"/>
                <w:i/>
                <w:sz w:val="18"/>
              </w:rPr>
              <w:t>A. niger</w:t>
            </w:r>
          </w:p>
        </w:tc>
        <w:tc>
          <w:tcPr>
            <w:tcW w:type="dxa" w:w="2032"/>
          </w:tcPr>
          <w:p>
            <w:pPr>
              <w:jc w:val="center"/>
            </w:pPr>
            <w:r>
              <w:rPr>
                <w:rFonts w:ascii="Times New Roman" w:hAnsi="Times New Roman" w:cs="Times New Roman"/>
                <w:rFonts w:ascii="Times New Roman" w:hAnsi="Times New Roman"/>
                <w:b w:val="0"/>
                <w:i w:val="0"/>
                <w:sz w:val="18"/>
              </w:rPr>
              <w:t>750</w:t>
            </w:r>
          </w:p>
        </w:tc>
        <w:tc>
          <w:tcPr>
            <w:tcW w:type="dxa" w:w="2032"/>
          </w:tcPr>
          <w:p>
            <w:pPr>
              <w:jc w:val="center"/>
            </w:pPr>
            <w:r>
              <w:rPr>
                <w:rFonts w:ascii="Times New Roman" w:hAnsi="Times New Roman" w:cs="Times New Roman"/>
                <w:rFonts w:ascii="Times New Roman" w:hAnsi="Times New Roman"/>
                <w:b w:val="0"/>
                <w:i w:val="0"/>
                <w:sz w:val="18"/>
              </w:rPr>
              <w:t>233</w:t>
            </w:r>
          </w:p>
        </w:tc>
        <w:tc>
          <w:tcPr>
            <w:tcW w:type="dxa" w:w="2032"/>
          </w:tcPr>
          <w:p>
            <w:pPr>
              <w:jc w:val="center"/>
            </w:pPr>
            <w:r>
              <w:rPr>
                <w:rFonts w:ascii="Times New Roman" w:hAnsi="Times New Roman" w:cs="Times New Roman"/>
                <w:rFonts w:ascii="Times New Roman" w:hAnsi="Times New Roman"/>
                <w:b w:val="0"/>
                <w:i w:val="0"/>
                <w:sz w:val="18"/>
              </w:rPr>
              <w:t>233</w:t>
            </w:r>
          </w:p>
        </w:tc>
      </w:tr>
      <w:tr>
        <w:tc>
          <w:tcPr>
            <w:tcW w:type="dxa" w:w="2032"/>
          </w:tcPr>
          <w:p>
            <w:pPr>
              <w:jc w:val="center"/>
            </w:pPr>
            <w:r>
              <w:rPr>
                <w:rFonts w:ascii="Times New Roman" w:hAnsi="Times New Roman" w:cs="Times New Roman"/>
                <w:rFonts w:ascii="Times New Roman" w:hAnsi="Times New Roman"/>
                <w:b w:val="0"/>
                <w:i w:val="0"/>
                <w:sz w:val="18"/>
              </w:rPr>
              <w:t>H3</w:t>
            </w:r>
          </w:p>
        </w:tc>
        <w:tc>
          <w:tcPr>
            <w:tcW w:type="dxa" w:w="2032"/>
          </w:tcPr>
          <w:p>
            <w:pPr>
              <w:jc w:val="center"/>
            </w:pPr>
            <w:r>
              <w:rPr>
                <w:rFonts w:ascii="Times New Roman" w:hAnsi="Times New Roman" w:cs="Times New Roman"/>
                <w:rFonts w:ascii="Times New Roman" w:hAnsi="Times New Roman"/>
                <w:b w:val="0"/>
                <w:i/>
                <w:sz w:val="18"/>
              </w:rPr>
              <w:t>T. rubrum</w:t>
            </w:r>
          </w:p>
        </w:tc>
        <w:tc>
          <w:tcPr>
            <w:tcW w:type="dxa" w:w="2032"/>
          </w:tcPr>
          <w:p>
            <w:pPr>
              <w:jc w:val="center"/>
            </w:pPr>
            <w:r>
              <w:rPr>
                <w:rFonts w:ascii="Times New Roman" w:hAnsi="Times New Roman" w:cs="Times New Roman"/>
                <w:rFonts w:ascii="Times New Roman" w:hAnsi="Times New Roman"/>
                <w:b w:val="0"/>
                <w:i w:val="0"/>
                <w:sz w:val="18"/>
              </w:rPr>
              <w:t>750</w:t>
            </w:r>
          </w:p>
        </w:tc>
        <w:tc>
          <w:tcPr>
            <w:tcW w:type="dxa" w:w="2032"/>
          </w:tcPr>
          <w:p>
            <w:pPr>
              <w:jc w:val="center"/>
            </w:pPr>
            <w:r>
              <w:rPr>
                <w:rFonts w:ascii="Times New Roman" w:hAnsi="Times New Roman" w:cs="Times New Roman"/>
                <w:rFonts w:ascii="Times New Roman" w:hAnsi="Times New Roman"/>
                <w:b w:val="0"/>
                <w:i w:val="0"/>
                <w:sz w:val="18"/>
              </w:rPr>
              <w:t>82</w:t>
            </w:r>
          </w:p>
        </w:tc>
        <w:tc>
          <w:tcPr>
            <w:tcW w:type="dxa" w:w="2032"/>
          </w:tcPr>
          <w:p>
            <w:pPr>
              <w:jc w:val="center"/>
            </w:pPr>
            <w:r>
              <w:rPr>
                <w:rFonts w:ascii="Times New Roman" w:hAnsi="Times New Roman" w:cs="Times New Roman"/>
                <w:rFonts w:ascii="Times New Roman" w:hAnsi="Times New Roman"/>
                <w:b w:val="0"/>
                <w:i w:val="0"/>
                <w:sz w:val="18"/>
              </w:rPr>
              <w:t>82</w:t>
            </w:r>
          </w:p>
        </w:tc>
      </w:tr>
      <w:tr>
        <w:tc>
          <w:tcPr>
            <w:tcW w:type="dxa" w:w="2032"/>
          </w:tcPr>
          <w:p>
            <w:pPr>
              <w:jc w:val="center"/>
            </w:pPr>
            <w:r>
              <w:rPr>
                <w:rFonts w:ascii="Times New Roman" w:hAnsi="Times New Roman" w:cs="Times New Roman"/>
                <w:rFonts w:ascii="Times New Roman" w:hAnsi="Times New Roman"/>
                <w:b w:val="0"/>
                <w:i w:val="0"/>
                <w:sz w:val="18"/>
              </w:rPr>
              <w:t>H5</w:t>
            </w:r>
          </w:p>
        </w:tc>
        <w:tc>
          <w:tcPr>
            <w:tcW w:type="dxa" w:w="2032"/>
          </w:tcPr>
          <w:p>
            <w:pPr>
              <w:jc w:val="center"/>
            </w:pPr>
            <w:r>
              <w:rPr>
                <w:rFonts w:ascii="Times New Roman" w:hAnsi="Times New Roman" w:cs="Times New Roman"/>
                <w:rFonts w:ascii="Times New Roman" w:hAnsi="Times New Roman"/>
                <w:b w:val="0"/>
                <w:i/>
                <w:sz w:val="18"/>
              </w:rPr>
              <w:t>T. mentagrophytes</w:t>
            </w:r>
          </w:p>
        </w:tc>
        <w:tc>
          <w:tcPr>
            <w:tcW w:type="dxa" w:w="2032"/>
          </w:tcPr>
          <w:p>
            <w:pPr>
              <w:jc w:val="center"/>
            </w:pPr>
            <w:r>
              <w:rPr>
                <w:rFonts w:ascii="Times New Roman" w:hAnsi="Times New Roman" w:cs="Times New Roman"/>
                <w:rFonts w:ascii="Times New Roman" w:hAnsi="Times New Roman"/>
                <w:b w:val="0"/>
                <w:i w:val="0"/>
                <w:sz w:val="18"/>
              </w:rPr>
              <w:t>1,000</w:t>
            </w:r>
          </w:p>
        </w:tc>
        <w:tc>
          <w:tcPr>
            <w:tcW w:type="dxa" w:w="2032"/>
          </w:tcPr>
          <w:p>
            <w:pPr>
              <w:jc w:val="center"/>
            </w:pPr>
            <w:r>
              <w:rPr>
                <w:rFonts w:ascii="Times New Roman" w:hAnsi="Times New Roman" w:cs="Times New Roman"/>
                <w:rFonts w:ascii="Times New Roman" w:hAnsi="Times New Roman"/>
                <w:b w:val="0"/>
                <w:i w:val="0"/>
                <w:sz w:val="18"/>
              </w:rPr>
              <w:t>80</w:t>
            </w:r>
          </w:p>
        </w:tc>
        <w:tc>
          <w:tcPr>
            <w:tcW w:type="dxa" w:w="2032"/>
          </w:tcPr>
          <w:p>
            <w:pPr>
              <w:jc w:val="center"/>
            </w:pPr>
            <w:r>
              <w:rPr>
                <w:rFonts w:ascii="Times New Roman" w:hAnsi="Times New Roman" w:cs="Times New Roman"/>
                <w:rFonts w:ascii="Times New Roman" w:hAnsi="Times New Roman"/>
                <w:b w:val="0"/>
                <w:i w:val="0"/>
                <w:sz w:val="18"/>
              </w:rPr>
              <w:t>80</w:t>
            </w:r>
          </w:p>
        </w:tc>
      </w:tr>
      <w:tr>
        <w:tc>
          <w:tcPr>
            <w:tcW w:type="dxa" w:w="2032"/>
          </w:tcPr>
          <w:p>
            <w:pPr>
              <w:jc w:val="center"/>
            </w:pPr>
            <w:r>
              <w:rPr>
                <w:rFonts w:ascii="Times New Roman" w:hAnsi="Times New Roman" w:cs="Times New Roman"/>
                <w:rFonts w:ascii="Times New Roman" w:hAnsi="Times New Roman"/>
                <w:b w:val="0"/>
                <w:i w:val="0"/>
                <w:sz w:val="18"/>
              </w:rPr>
              <w:t>H6</w:t>
            </w:r>
          </w:p>
        </w:tc>
        <w:tc>
          <w:tcPr>
            <w:tcW w:type="dxa" w:w="2032"/>
          </w:tcPr>
          <w:p>
            <w:pPr>
              <w:jc w:val="center"/>
            </w:pPr>
            <w:r>
              <w:rPr>
                <w:rFonts w:ascii="Times New Roman" w:hAnsi="Times New Roman" w:cs="Times New Roman"/>
                <w:rFonts w:ascii="Times New Roman" w:hAnsi="Times New Roman"/>
                <w:b w:val="0"/>
                <w:i/>
                <w:sz w:val="18"/>
              </w:rPr>
              <w:t>E. floccosum</w:t>
            </w:r>
          </w:p>
        </w:tc>
        <w:tc>
          <w:tcPr>
            <w:tcW w:type="dxa" w:w="2032"/>
          </w:tcPr>
          <w:p>
            <w:pPr>
              <w:jc w:val="center"/>
            </w:pPr>
            <w:r>
              <w:rPr>
                <w:rFonts w:ascii="Times New Roman" w:hAnsi="Times New Roman" w:cs="Times New Roman"/>
                <w:rFonts w:ascii="Times New Roman" w:hAnsi="Times New Roman"/>
                <w:b w:val="0"/>
                <w:i w:val="0"/>
                <w:sz w:val="18"/>
              </w:rPr>
              <w:t>500</w:t>
            </w:r>
          </w:p>
        </w:tc>
        <w:tc>
          <w:tcPr>
            <w:tcW w:type="dxa" w:w="2032"/>
          </w:tcPr>
          <w:p>
            <w:pPr>
              <w:jc w:val="center"/>
            </w:pPr>
            <w:r>
              <w:rPr>
                <w:rFonts w:ascii="Times New Roman" w:hAnsi="Times New Roman" w:cs="Times New Roman"/>
                <w:rFonts w:ascii="Times New Roman" w:hAnsi="Times New Roman"/>
                <w:b w:val="0"/>
                <w:i w:val="0"/>
                <w:sz w:val="18"/>
              </w:rPr>
              <w:t>67</w:t>
            </w:r>
          </w:p>
        </w:tc>
        <w:tc>
          <w:tcPr>
            <w:tcW w:type="dxa" w:w="2032"/>
          </w:tcPr>
          <w:p>
            <w:pPr>
              <w:jc w:val="center"/>
            </w:pPr>
            <w:r>
              <w:rPr>
                <w:rFonts w:ascii="Times New Roman" w:hAnsi="Times New Roman" w:cs="Times New Roman"/>
                <w:rFonts w:ascii="Times New Roman" w:hAnsi="Times New Roman"/>
                <w:b w:val="0"/>
                <w:i w:val="0"/>
                <w:sz w:val="18"/>
              </w:rPr>
              <w:t>70</w:t>
            </w:r>
          </w:p>
        </w:tc>
      </w:tr>
      <w:tr>
        <w:tc>
          <w:tcPr>
            <w:tcW w:type="dxa" w:w="2032"/>
          </w:tcPr>
          <w:p>
            <w:pPr>
              <w:jc w:val="center"/>
            </w:pPr>
            <w:r>
              <w:rPr>
                <w:rFonts w:ascii="Times New Roman" w:hAnsi="Times New Roman" w:cs="Times New Roman"/>
                <w:rFonts w:ascii="Times New Roman" w:hAnsi="Times New Roman"/>
                <w:b/>
                <w:i w:val="0"/>
                <w:sz w:val="18"/>
              </w:rPr>
            </w:r>
          </w:p>
        </w:tc>
        <w:tc>
          <w:tcPr>
            <w:tcW w:type="dxa" w:w="2032"/>
          </w:tcPr>
          <w:p>
            <w:pPr>
              <w:jc w:val="center"/>
            </w:pPr>
            <w:r>
              <w:rPr>
                <w:rFonts w:ascii="Times New Roman" w:hAnsi="Times New Roman" w:cs="Times New Roman"/>
                <w:rFonts w:ascii="Times New Roman" w:hAnsi="Times New Roman"/>
                <w:b/>
                <w:i w:val="0"/>
                <w:sz w:val="18"/>
              </w:rPr>
              <w:t>Total</w:t>
            </w:r>
          </w:p>
        </w:tc>
        <w:tc>
          <w:tcPr>
            <w:tcW w:type="dxa" w:w="2032"/>
          </w:tcPr>
          <w:p>
            <w:pPr>
              <w:jc w:val="center"/>
            </w:pPr>
            <w:r>
              <w:rPr>
                <w:rFonts w:ascii="Times New Roman" w:hAnsi="Times New Roman" w:cs="Times New Roman"/>
                <w:rFonts w:ascii="Times New Roman" w:hAnsi="Times New Roman"/>
                <w:b/>
                <w:i w:val="0"/>
                <w:sz w:val="18"/>
              </w:rPr>
              <w:t>5,000</w:t>
            </w:r>
          </w:p>
        </w:tc>
        <w:tc>
          <w:tcPr>
            <w:tcW w:type="dxa" w:w="2032"/>
          </w:tcPr>
          <w:p>
            <w:pPr>
              <w:jc w:val="center"/>
            </w:pPr>
            <w:r>
              <w:rPr>
                <w:rFonts w:ascii="Times New Roman" w:hAnsi="Times New Roman" w:cs="Times New Roman"/>
                <w:rFonts w:ascii="Times New Roman" w:hAnsi="Times New Roman"/>
                <w:b/>
                <w:i w:val="0"/>
                <w:sz w:val="18"/>
              </w:rPr>
              <w:t>899</w:t>
            </w:r>
          </w:p>
        </w:tc>
        <w:tc>
          <w:tcPr>
            <w:tcW w:type="dxa" w:w="2032"/>
          </w:tcPr>
          <w:p>
            <w:pPr>
              <w:jc w:val="center"/>
            </w:pPr>
            <w:r>
              <w:rPr>
                <w:rFonts w:ascii="Times New Roman" w:hAnsi="Times New Roman" w:cs="Times New Roman"/>
                <w:rFonts w:ascii="Times New Roman" w:hAnsi="Times New Roman"/>
                <w:b/>
                <w:i w:val="0"/>
                <w:sz w:val="18"/>
              </w:rPr>
              <w:t>902</w:t>
            </w:r>
          </w:p>
        </w:tc>
      </w:tr>
    </w:tbl>
    <w:p>
      <w:pPr>
        <w:jc w:val="left"/>
        <w:spacing w:before="60" w:after="20"/>
      </w:pPr>
      <w:r>
        <w:rPr>
          <w:rFonts w:ascii="Times New Roman" w:hAnsi="Times New Roman" w:cs="Times New Roman"/>
          <w:rFonts w:ascii="Times New Roman" w:hAnsi="Times New Roman"/>
          <w:b w:val="0"/>
          <w:i/>
          <w:sz w:val="20"/>
        </w:rPr>
        <w:t>B. Augmentation Pipeline</w:t>
      </w:r>
    </w:p>
    <w:p>
      <w:pPr>
        <w:jc w:val="both"/>
        <w:spacing w:before="0" w:after="40"/>
        <w:ind w:firstLine="360"/>
      </w:pPr>
      <w:r>
        <w:rPr>
          <w:rFonts w:ascii="Times New Roman" w:hAnsi="Times New Roman" w:cs="Times New Roman"/>
          <w:rFonts w:ascii="Times New Roman" w:hAnsi="Times New Roman"/>
          <w:b w:val="0"/>
          <w:i w:val="0"/>
          <w:sz w:val="20"/>
        </w:rPr>
        <w:t>For training images, the images are randomly sized and cropped. and horizontal and vertical flipping (scale 0.8–1.0), Brightness, contrast and saturation each ±0.4 (colour jitter). Ran- editorial flexibility in erasing the text. It gives some editorial freedom to have text erased [15] with a 25% chance. The occlusion robustness is important for specimens where The field of view contains debris blocking part of the view. At batch level we apply MixUp [13] (α = 0.8) and CutMix [14] both strategies soften the (α = 1.0) with equal probability; both strategies soften the inter-class boundaries and have helped in other fine-grained Limited data for classification settings. Validation and test It is known that images only see centre-crop normalisation (IN) with ImageNet. statistics. All the inputs are independently resized to each encoder at its own target resolution (224 or 384 pixels), anti- aliased bilinear interpolation.</w:t>
      </w:r>
    </w:p>
    <w:p>
      <w:pPr>
        <w:jc w:val="center"/>
        <w:spacing w:before="100" w:after="40"/>
      </w:pPr>
      <w:r>
        <w:rPr>
          <w:rFonts w:ascii="Times New Roman" w:hAnsi="Times New Roman" w:cs="Times New Roman"/>
          <w:rFonts w:ascii="Times New Roman" w:hAnsi="Times New Roman"/>
          <w:b w:val="0"/>
          <w:i w:val="0"/>
          <w:sz w:val="20"/>
        </w:rPr>
        <w:t>IV. METHODOLOGY</w:t>
      </w:r>
    </w:p>
    <w:p>
      <w:pPr>
        <w:jc w:val="left"/>
        <w:spacing w:before="60" w:after="20"/>
      </w:pPr>
      <w:r>
        <w:rPr>
          <w:rFonts w:ascii="Times New Roman" w:hAnsi="Times New Roman" w:cs="Times New Roman"/>
          <w:rFonts w:ascii="Times New Roman" w:hAnsi="Times New Roman"/>
          <w:b w:val="0"/>
          <w:i/>
          <w:sz w:val="20"/>
        </w:rPr>
        <w:t>A. Backbone Encoders</w:t>
      </w:r>
    </w:p>
    <w:p>
      <w:pPr>
        <w:jc w:val="both"/>
        <w:spacing w:before="0" w:after="40"/>
        <w:ind w:firstLine="360"/>
      </w:pPr>
      <w:r>
        <w:rPr>
          <w:rFonts w:ascii="Times New Roman" w:hAnsi="Times New Roman" w:cs="Times New Roman"/>
          <w:rFonts w:ascii="Times New Roman" w:hAnsi="Times New Roman"/>
          <w:b w:val="0"/>
          <w:i w:val="0"/>
          <w:sz w:val="20"/>
        </w:rPr>
        <w:t>The weights of both encoders are initialized with weights from ViT-B/16 [4] pretrained. on timm loaded ImageNet-21k. The original classification head is swapped for a randomly initialised linear The [CLS] token is mapped to 5 with the following mapping: logits. All 12 of the transformer blocks are trained from the first We don’t freeze any layers, you will work through the entire period in one sitting.</w:t>
      </w:r>
    </w:p>
    <w:p>
      <w:pPr>
        <w:jc w:val="both"/>
        <w:spacing w:before="0" w:after="40"/>
        <w:ind w:firstLine="360"/>
      </w:pPr>
      <w:r>
        <w:rPr>
          <w:rFonts w:ascii="Times New Roman" w:hAnsi="Times New Roman" w:cs="Times New Roman"/>
          <w:rFonts w:ascii="Times New Roman" w:hAnsi="Times New Roman"/>
          <w:b w:val="0"/>
          <w:i w:val="0"/>
          <w:sz w:val="20"/>
        </w:rPr>
        <w:t>The two encoders are the same, except for the number of inputs. ViT-224 splits each image into 14 × 14 = 196 non-overlapping 16 × 16 patches. ViT-384 produces 24 × 24 = 576 patches, providing almost three times the space tokens and hence A finer resolution of the image. The timm ViT-B/16- Positional embeddings are shared between the 224- and 384-variant variants. Positional embeddings are identical for both the 224- and 384-variant variants. This method does not use bicubic interpolation, so it is referred to as pixel checkpoint. instability in training that can occur when positional encodings Randomly initialise are at new resolution.</w:t>
      </w:r>
    </w:p>
    <w:p>
      <w:pPr>
        <w:jc w:val="left"/>
        <w:spacing w:before="60" w:after="20"/>
      </w:pPr>
      <w:r>
        <w:rPr>
          <w:rFonts w:ascii="Times New Roman" w:hAnsi="Times New Roman" w:cs="Times New Roman"/>
          <w:rFonts w:ascii="Times New Roman" w:hAnsi="Times New Roman"/>
          <w:b w:val="0"/>
          <w:i/>
          <w:sz w:val="20"/>
        </w:rPr>
        <w:t>B. ACMF Fusion Framework</w:t>
      </w:r>
    </w:p>
    <w:p>
      <w:pPr>
        <w:jc w:val="both"/>
        <w:spacing w:before="0" w:after="40"/>
        <w:ind w:firstLine="360"/>
      </w:pPr>
      <w:r>
        <w:rPr>
          <w:rFonts w:ascii="Times New Roman" w:hAnsi="Times New Roman" w:cs="Times New Roman"/>
          <w:rFonts w:ascii="Times New Roman" w:hAnsi="Times New Roman"/>
          <w:b w:val="0"/>
          <w:i w:val="0"/>
          <w:sz w:val="20"/>
        </w:rPr>
        <w:t>Let p₂₂₄ and p₃₈₄ be the softmax output vectors from For a particular image, both ViT-224 and ViT-384 have a value of Δ^(C−1). C = 5. The four strategies that are assessed are detailed below.</w:t>
      </w:r>
    </w:p>
    <w:p>
      <w:pPr>
        <w:jc w:val="both"/>
        <w:spacing w:before="20" w:after="20"/>
      </w:pPr>
      <w:r>
        <w:rPr>
          <w:rFonts w:ascii="Times New Roman" w:hAnsi="Times New Roman" w:cs="Times New Roman"/>
          <w:rFonts w:ascii="Times New Roman" w:hAnsi="Times New Roman"/>
          <w:b/>
          <w:i w:val="0"/>
          <w:sz w:val="20"/>
        </w:rPr>
        <w:t xml:space="preserve">S1 — Equal-Weight Averaging: </w:t>
      </w:r>
      <w:r>
        <w:rPr>
          <w:rFonts w:ascii="Times New Roman" w:hAnsi="Times New Roman" w:cs="Times New Roman"/>
          <w:rFonts w:ascii="Times New Roman" w:hAnsi="Times New Roman"/>
          <w:b w:val="0"/>
          <w:i w:val="0"/>
          <w:sz w:val="20"/>
        </w:rPr>
        <w:t>No assumptions about which encoder is better; the simplest possible baseline for fusion.</w:t>
      </w:r>
    </w:p>
    <w:p>
      <w:pPr>
        <w:jc w:val="center"/>
        <w:spacing w:before="40" w:after="40"/>
      </w:pPr>
      <w:r>
        <w:rPr>
          <w:rFonts w:ascii="Times New Roman" w:hAnsi="Times New Roman" w:cs="Times New Roman"/>
          <w:rFonts w:ascii="Times New Roman" w:hAnsi="Times New Roman"/>
          <w:b w:val="0"/>
          <w:i/>
          <w:sz w:val="20"/>
        </w:rPr>
        <w:t>ᵖ̂⁽¹⁾ = ½ p₂₂₄ + ½ p₃₈₄    (1)</w:t>
      </w:r>
    </w:p>
    <w:p>
      <w:pPr>
        <w:jc w:val="both"/>
        <w:spacing w:before="20" w:after="20"/>
      </w:pPr>
      <w:r>
        <w:rPr>
          <w:rFonts w:ascii="Times New Roman" w:hAnsi="Times New Roman" w:cs="Times New Roman"/>
          <w:rFonts w:ascii="Times New Roman" w:hAnsi="Times New Roman"/>
          <w:b/>
          <w:i w:val="0"/>
          <w:sz w:val="20"/>
        </w:rPr>
        <w:t xml:space="preserve">S2 — Accuracy-Weighted Fusion: </w:t>
      </w:r>
      <w:r>
        <w:rPr>
          <w:rFonts w:ascii="Times New Roman" w:hAnsi="Times New Roman" w:cs="Times New Roman"/>
          <w:rFonts w:ascii="Times New Roman" w:hAnsi="Times New Roman"/>
          <w:b w:val="0"/>
          <w:i w:val="0"/>
          <w:sz w:val="20"/>
        </w:rPr>
        <w:t>wᵣ = aᵣ / (a₂₂₄ + a₃₈₄), r ∈ {224, 384}, where aᵣ is the validation-set top-1 accuracy of encoder r. The fused output becomes ᵖ̂⁽²⁾ = w₂₂₄ p₂₂₄ + w₃₈₄ p₃₈₄. This places more trust in the encoder that generalised better, but the weights are fixed across all test images.</w:t>
      </w:r>
    </w:p>
    <w:p>
      <w:pPr>
        <w:jc w:val="both"/>
        <w:spacing w:before="20" w:after="20"/>
      </w:pPr>
      <w:r>
        <w:rPr>
          <w:rFonts w:ascii="Times New Roman" w:hAnsi="Times New Roman" w:cs="Times New Roman"/>
          <w:rFonts w:ascii="Times New Roman" w:hAnsi="Times New Roman"/>
          <w:b/>
          <w:i w:val="0"/>
          <w:sz w:val="20"/>
        </w:rPr>
        <w:t xml:space="preserve">S3 — Confidence-Guided Entropy Weighting: </w:t>
      </w:r>
      <w:r>
        <w:rPr>
          <w:rFonts w:ascii="Times New Roman" w:hAnsi="Times New Roman" w:cs="Times New Roman"/>
          <w:rFonts w:ascii="Times New Roman" w:hAnsi="Times New Roman"/>
          <w:b w:val="0"/>
          <w:i w:val="0"/>
          <w:sz w:val="20"/>
        </w:rPr>
        <w:t>Rather than assigning the same weight to every image, S3 computes per-sample weights based on how confident each encoder is. We measure confidence through Shannon entropy H(p) = −Σᴄ pᴄ log pᴄ: lower entropy means the model is more certain about its prediction. For each image i: wᵣ⁽⁩⁾ = (H(pᵣ⁽⁩⁾) + ε)⁻¹ / Σᵣ′(H(pᵣ′⁽⁩⁾) + ε)⁻¹, ε = 10⁻⁸. The fused prediction is ᵖ̂⁽³⁾ᵢ = w₂₂₄⁽⁩⁾ p₂₂₄⁽⁩⁾ + w₃₈₄⁽⁩⁾ p₃₈₄⁽⁩⁾. The pair (w₂₂₄⁽⁩⁾, w₃₈₄⁽⁩⁾) is an interpretable artifact of inference: it tells us which resolution the model found more decisive for specimen i, at no extra computational cost beyond computing entropy of an already-available softmax vector.</w:t>
      </w:r>
    </w:p>
    <w:p>
      <w:pPr>
        <w:jc w:val="both"/>
        <w:spacing w:before="20" w:after="20"/>
      </w:pPr>
      <w:r>
        <w:rPr>
          <w:rFonts w:ascii="Times New Roman" w:hAnsi="Times New Roman" w:cs="Times New Roman"/>
          <w:rFonts w:ascii="Times New Roman" w:hAnsi="Times New Roman"/>
          <w:b/>
          <w:i w:val="0"/>
          <w:sz w:val="20"/>
        </w:rPr>
        <w:t xml:space="preserve">S4 — Learnable MLP Fusion Head: </w:t>
      </w:r>
      <w:r>
        <w:rPr>
          <w:rFonts w:ascii="Times New Roman" w:hAnsi="Times New Roman" w:cs="Times New Roman"/>
          <w:rFonts w:ascii="Times New Roman" w:hAnsi="Times New Roman"/>
          <w:b w:val="0"/>
          <w:i w:val="0"/>
          <w:sz w:val="20"/>
        </w:rPr>
        <w:t>A two-layer MLP with LayerNorm and ReLU takes the concatenated vector [p₂₂₄; p₃₈₄] ∈ ℝ¹⁰ and outputs two softmax-normalised mixture weights. The head is trained for 20 epochs on frozen backbone outputs using AdamW with cosine annealing, so that the weighting function can in principle learn arbitrary, specimen-conditioned asymmetries.</w:t>
      </w:r>
    </w:p>
    <w:p>
      <w:pPr>
        <w:jc w:val="left"/>
        <w:spacing w:before="60" w:after="20"/>
      </w:pPr>
      <w:r>
        <w:rPr>
          <w:rFonts w:ascii="Times New Roman" w:hAnsi="Times New Roman" w:cs="Times New Roman"/>
          <w:rFonts w:ascii="Times New Roman" w:hAnsi="Times New Roman"/>
          <w:b w:val="0"/>
          <w:i/>
          <w:sz w:val="20"/>
        </w:rPr>
        <w:t>C. Training Protocol</w:t>
      </w:r>
    </w:p>
    <w:p>
      <w:pPr>
        <w:jc w:val="both"/>
        <w:spacing w:before="0" w:after="40"/>
        <w:ind w:firstLine="360"/>
      </w:pPr>
      <w:r>
        <w:rPr>
          <w:rFonts w:ascii="Times New Roman" w:hAnsi="Times New Roman" w:cs="Times New Roman"/>
          <w:rFonts w:ascii="Times New Roman" w:hAnsi="Times New Roman"/>
          <w:b w:val="0"/>
          <w:i w:val="0"/>
          <w:sz w:val="20"/>
        </w:rPr>
        <w:t>Training uses AdamW, starting at a learning rate of 10⁻⁴ Weight decay set to 10⁻². After that, the learning rate changes along a cosine schedule A rule follows a straight 5-epoch ramp-up phase. With label smoothing applied at ε = 0.1 Instead of rigid training goals, [16] introduces flexible alternatives. During the learning process, these adjustments occur consistently use automatic mixed precision (torch.amp.GradScaler) Using less memory helps ease pressure on the RTX 4050’s limited 6 GB VRAM Yet maintaining numerical stability throughout. The top checkpoint F1 macro preserves it, while early stopping activates should After ten straight rounds without a gain in validation F1, progress stalls Thirty epochs set as upper limit; convergence of ViT-224 reached by that point Twenty-eight, along with ViT-384, applied every one of the thirty.</w:t>
      </w:r>
    </w:p>
    <w:p>
      <w:pPr>
        <w:jc w:val="left"/>
        <w:spacing w:before="60" w:after="20"/>
      </w:pPr>
      <w:r>
        <w:rPr>
          <w:rFonts w:ascii="Times New Roman" w:hAnsi="Times New Roman" w:cs="Times New Roman"/>
          <w:rFonts w:ascii="Times New Roman" w:hAnsi="Times New Roman"/>
          <w:b w:val="0"/>
          <w:i/>
          <w:sz w:val="20"/>
        </w:rPr>
        <w:t>D. Attention Rollout for Explainability</w:t>
      </w:r>
    </w:p>
    <w:p>
      <w:pPr>
        <w:jc w:val="both"/>
        <w:spacing w:before="0" w:after="40"/>
        <w:ind w:firstLine="360"/>
      </w:pPr>
      <w:r>
        <w:rPr>
          <w:rFonts w:ascii="Times New Roman" w:hAnsi="Times New Roman" w:cs="Times New Roman"/>
          <w:rFonts w:ascii="Times New Roman" w:hAnsi="Times New Roman"/>
          <w:b w:val="0"/>
          <w:i w:val="0"/>
          <w:sz w:val="20"/>
        </w:rPr>
        <w:t>Attention Generated After Every ViT Forward Pass Rollout map [8]. The method multiplies the raw attention Through each of the twelve layers one after another, using a matrix residual correction at each step: Â_l = 0.5 A_l + 0.5 I. The product ∏_l Â_l gives per-patch attribution scores relative to Starting with the [CLS] token, elements are restructured into the layout of the patch grid Starting at higher detail, resolution matches the original input. This produces a map showing warmth levels across areas overlay on the original slide image, giving a reviewer a direct A close connection appears between what the model forecasts and the tiny details seen under magnification Its foundation depended on certain frameworks.</w:t>
      </w:r>
    </w:p>
    <w:p>
      <w:pPr>
        <w:jc w:val="center"/>
        <w:spacing w:before="100" w:after="40"/>
      </w:pPr>
      <w:r>
        <w:rPr>
          <w:rFonts w:ascii="Times New Roman" w:hAnsi="Times New Roman" w:cs="Times New Roman"/>
          <w:rFonts w:ascii="Times New Roman" w:hAnsi="Times New Roman"/>
          <w:b w:val="0"/>
          <w:i w:val="0"/>
          <w:sz w:val="20"/>
        </w:rPr>
        <w:t>V. TESTS WITH FINDINGS</w:t>
      </w:r>
    </w:p>
    <w:p>
      <w:pPr>
        <w:jc w:val="both"/>
        <w:spacing w:before="0" w:after="40"/>
        <w:ind w:firstLine="360"/>
      </w:pPr>
      <w:r>
        <w:rPr>
          <w:rFonts w:ascii="Times New Roman" w:hAnsi="Times New Roman" w:cs="Times New Roman"/>
          <w:rFonts w:ascii="Times New Roman" w:hAnsi="Times New Roman"/>
          <w:b w:val="0"/>
          <w:i w:val="0"/>
          <w:sz w:val="20"/>
        </w:rPr>
        <w:t>Each test takes place using one NVIDIA RTX 4050. Running everything on just that hardware keeps conditions steady. The setup does not include extra chips or added processors. Performance data comes solely from this card. No alternate configurations appear in the trials. Testing stays limited to this specific model throughout Laptop GPU featuring 6 GB of VRAM, compatible with CUDA version 12.9 alongside PyTorch release 2.1 Top-1 accuracy appears alongside macro-averaged F1, known as F1-M, then weighted metrics follow closely behind With regard to the held-out set, performance is assessed via F1 for class W, along with macro-averaged precision and individual class-level F1 scores Among 902 images used for testing, inference latency reflects average GPU processing duration Across one thousand attempts, performance followed fifty initial adjustment steps. Each run built on prior iterations without abrupt shifts. Progress emerged gradually through repeated exposure. Stability came only after early fluctuations settled down. A single frame guided every sequence throughout testing Higher performance emerges through adjustments to ResNet-50, though improvements also appear when modifying EfficientNet-B3; similarly, Swin-Tiny shows gains after refinement Adjusted within DeFungi using the identical setup applied to the ViT encoders Besides functioning as starting points, they provide reference markers.</w:t>
      </w:r>
    </w:p>
    <w:p>
      <w:pPr>
        <w:jc w:val="left"/>
        <w:spacing w:before="60" w:after="20"/>
      </w:pPr>
      <w:r>
        <w:rPr>
          <w:rFonts w:ascii="Times New Roman" w:hAnsi="Times New Roman" w:cs="Times New Roman"/>
          <w:rFonts w:ascii="Times New Roman" w:hAnsi="Times New Roman"/>
          <w:b w:val="0"/>
          <w:i/>
          <w:sz w:val="20"/>
        </w:rPr>
        <w:t>A. Performance of Single Models</w:t>
      </w:r>
    </w:p>
    <w:p>
      <w:pPr>
        <w:jc w:val="both"/>
        <w:spacing w:before="0" w:after="40"/>
        <w:ind w:firstLine="360"/>
      </w:pPr>
      <w:r>
        <w:rPr>
          <w:rFonts w:ascii="Times New Roman" w:hAnsi="Times New Roman" w:cs="Times New Roman"/>
          <w:rFonts w:ascii="Times New Roman" w:hAnsi="Times New Roman"/>
          <w:b w:val="0"/>
          <w:i w:val="0"/>
          <w:sz w:val="20"/>
        </w:rPr>
        <w:t>Results appear in Table II. Leading performance emerges from Swin-Tiny With a precision of 91.02%, alongside an F1 macro score reaching 92.66%. Our view aligns here Its four-level structure manages tasks well due to clear progression through stages Across one forward pass, different spatial resolutions emerge — some One goal of the dual-encoder setup is to mirror a specific pattern it learns during training A different approach appears here. One system trails slightly behind, scoring 91.88% on F1 macro. This version follows ViT-384 in rank It becomes clear the added detail reveals structural form more fully Details lost when scaled down to 224 pixels.</w:t>
      </w:r>
    </w:p>
    <w:p>
      <w:pPr>
        <w:jc w:val="center"/>
        <w:spacing w:before="60" w:after="20"/>
      </w:pPr>
      <w:r>
        <w:rPr>
          <w:rFonts w:ascii="Times New Roman" w:hAnsi="Times New Roman" w:cs="Times New Roman"/>
          <w:rFonts w:ascii="Times New Roman" w:hAnsi="Times New Roman"/>
          <w:b/>
          <w:i w:val="0"/>
          <w:sz w:val="18"/>
        </w:rPr>
        <w:t>TABLE II.    INDIVIDUAL MODEL PERFORMANCE ON DEFUNGI TEST SET</w:t>
      </w:r>
    </w:p>
    <w:tbl>
      <w:tblPr>
        <w:tblStyle w:val="TableGrid"/>
        <w:tblW w:type="auto" w:w="0"/>
        <w:jc w:val="center"/>
        <w:tblLook w:firstColumn="1" w:firstRow="1" w:lastColumn="0" w:lastRow="0" w:noHBand="0" w:noVBand="1" w:val="04A0"/>
      </w:tblPr>
      <w:tblGrid>
        <w:gridCol w:w="2032"/>
        <w:gridCol w:w="2032"/>
        <w:gridCol w:w="2032"/>
        <w:gridCol w:w="2032"/>
        <w:gridCol w:w="2032"/>
      </w:tblGrid>
      <w:tr>
        <w:tc>
          <w:tcPr>
            <w:tcW w:type="dxa" w:w="2032"/>
          </w:tcPr>
          <w:p>
            <w:pPr>
              <w:jc w:val="center"/>
            </w:pPr>
            <w:r>
              <w:rPr>
                <w:rFonts w:ascii="Times New Roman" w:hAnsi="Times New Roman" w:cs="Times New Roman"/>
                <w:rFonts w:ascii="Times New Roman" w:hAnsi="Times New Roman"/>
                <w:b/>
                <w:i w:val="0"/>
                <w:sz w:val="18"/>
              </w:rPr>
              <w:t>Model</w:t>
            </w:r>
          </w:p>
        </w:tc>
        <w:tc>
          <w:tcPr>
            <w:tcW w:type="dxa" w:w="2032"/>
          </w:tcPr>
          <w:p>
            <w:pPr>
              <w:jc w:val="center"/>
            </w:pPr>
            <w:r>
              <w:rPr>
                <w:rFonts w:ascii="Times New Roman" w:hAnsi="Times New Roman" w:cs="Times New Roman"/>
                <w:rFonts w:ascii="Times New Roman" w:hAnsi="Times New Roman"/>
                <w:b/>
                <w:i w:val="0"/>
                <w:sz w:val="18"/>
              </w:rPr>
              <w:t>Acc.(%)</w:t>
            </w:r>
          </w:p>
        </w:tc>
        <w:tc>
          <w:tcPr>
            <w:tcW w:type="dxa" w:w="2032"/>
          </w:tcPr>
          <w:p>
            <w:pPr>
              <w:jc w:val="center"/>
            </w:pPr>
            <w:r>
              <w:rPr>
                <w:rFonts w:ascii="Times New Roman" w:hAnsi="Times New Roman" w:cs="Times New Roman"/>
                <w:rFonts w:ascii="Times New Roman" w:hAnsi="Times New Roman"/>
                <w:b/>
                <w:i w:val="0"/>
                <w:sz w:val="18"/>
              </w:rPr>
              <w:t>F1-M(%)</w:t>
            </w:r>
          </w:p>
        </w:tc>
        <w:tc>
          <w:tcPr>
            <w:tcW w:type="dxa" w:w="2032"/>
          </w:tcPr>
          <w:p>
            <w:pPr>
              <w:jc w:val="center"/>
            </w:pPr>
            <w:r>
              <w:rPr>
                <w:rFonts w:ascii="Times New Roman" w:hAnsi="Times New Roman" w:cs="Times New Roman"/>
                <w:rFonts w:ascii="Times New Roman" w:hAnsi="Times New Roman"/>
                <w:b/>
                <w:i w:val="0"/>
                <w:sz w:val="18"/>
              </w:rPr>
              <w:t>Lat.(ms)</w:t>
            </w:r>
          </w:p>
        </w:tc>
        <w:tc>
          <w:tcPr>
            <w:tcW w:type="dxa" w:w="2032"/>
          </w:tcPr>
          <w:p>
            <w:pPr>
              <w:jc w:val="center"/>
            </w:pPr>
            <w:r>
              <w:rPr>
                <w:rFonts w:ascii="Times New Roman" w:hAnsi="Times New Roman" w:cs="Times New Roman"/>
                <w:rFonts w:ascii="Times New Roman" w:hAnsi="Times New Roman"/>
                <w:b/>
                <w:i w:val="0"/>
                <w:sz w:val="18"/>
              </w:rPr>
              <w:t>Params(M)</w:t>
            </w:r>
          </w:p>
        </w:tc>
      </w:tr>
      <w:tr>
        <w:tc>
          <w:tcPr>
            <w:tcW w:type="dxa" w:w="2032"/>
          </w:tcPr>
          <w:p>
            <w:pPr>
              <w:jc w:val="center"/>
            </w:pPr>
            <w:r>
              <w:rPr>
                <w:rFonts w:ascii="Times New Roman" w:hAnsi="Times New Roman" w:cs="Times New Roman"/>
                <w:rFonts w:ascii="Times New Roman" w:hAnsi="Times New Roman"/>
                <w:b w:val="0"/>
                <w:i w:val="0"/>
                <w:sz w:val="18"/>
              </w:rPr>
              <w:t>ResNet-50</w:t>
            </w:r>
          </w:p>
        </w:tc>
        <w:tc>
          <w:tcPr>
            <w:tcW w:type="dxa" w:w="2032"/>
          </w:tcPr>
          <w:p>
            <w:pPr>
              <w:jc w:val="center"/>
            </w:pPr>
            <w:r>
              <w:rPr>
                <w:rFonts w:ascii="Times New Roman" w:hAnsi="Times New Roman" w:cs="Times New Roman"/>
                <w:rFonts w:ascii="Times New Roman" w:hAnsi="Times New Roman"/>
                <w:b w:val="0"/>
                <w:i w:val="0"/>
                <w:sz w:val="18"/>
              </w:rPr>
              <w:t>78.71</w:t>
            </w:r>
          </w:p>
        </w:tc>
        <w:tc>
          <w:tcPr>
            <w:tcW w:type="dxa" w:w="2032"/>
          </w:tcPr>
          <w:p>
            <w:pPr>
              <w:jc w:val="center"/>
            </w:pPr>
            <w:r>
              <w:rPr>
                <w:rFonts w:ascii="Times New Roman" w:hAnsi="Times New Roman" w:cs="Times New Roman"/>
                <w:rFonts w:ascii="Times New Roman" w:hAnsi="Times New Roman"/>
                <w:b w:val="0"/>
                <w:i w:val="0"/>
                <w:sz w:val="18"/>
              </w:rPr>
              <w:t>81.61</w:t>
            </w:r>
          </w:p>
        </w:tc>
        <w:tc>
          <w:tcPr>
            <w:tcW w:type="dxa" w:w="2032"/>
          </w:tcPr>
          <w:p>
            <w:pPr>
              <w:jc w:val="center"/>
            </w:pPr>
            <w:r>
              <w:rPr>
                <w:rFonts w:ascii="Times New Roman" w:hAnsi="Times New Roman" w:cs="Times New Roman"/>
                <w:rFonts w:ascii="Times New Roman" w:hAnsi="Times New Roman"/>
                <w:b w:val="0"/>
                <w:i w:val="0"/>
                <w:sz w:val="18"/>
              </w:rPr>
              <w:t>5.8</w:t>
            </w:r>
          </w:p>
        </w:tc>
        <w:tc>
          <w:tcPr>
            <w:tcW w:type="dxa" w:w="2032"/>
          </w:tcPr>
          <w:p>
            <w:pPr>
              <w:jc w:val="center"/>
            </w:pPr>
            <w:r>
              <w:rPr>
                <w:rFonts w:ascii="Times New Roman" w:hAnsi="Times New Roman" w:cs="Times New Roman"/>
                <w:rFonts w:ascii="Times New Roman" w:hAnsi="Times New Roman"/>
                <w:b w:val="0"/>
                <w:i w:val="0"/>
                <w:sz w:val="18"/>
              </w:rPr>
              <w:t>23.5</w:t>
            </w:r>
          </w:p>
        </w:tc>
      </w:tr>
      <w:tr>
        <w:tc>
          <w:tcPr>
            <w:tcW w:type="dxa" w:w="2032"/>
          </w:tcPr>
          <w:p>
            <w:pPr>
              <w:jc w:val="center"/>
            </w:pPr>
            <w:r>
              <w:rPr>
                <w:rFonts w:ascii="Times New Roman" w:hAnsi="Times New Roman" w:cs="Times New Roman"/>
                <w:rFonts w:ascii="Times New Roman" w:hAnsi="Times New Roman"/>
                <w:b w:val="0"/>
                <w:i w:val="0"/>
                <w:sz w:val="18"/>
              </w:rPr>
              <w:t>EfficientNet-B3</w:t>
            </w:r>
          </w:p>
        </w:tc>
        <w:tc>
          <w:tcPr>
            <w:tcW w:type="dxa" w:w="2032"/>
          </w:tcPr>
          <w:p>
            <w:pPr>
              <w:jc w:val="center"/>
            </w:pPr>
            <w:r>
              <w:rPr>
                <w:rFonts w:ascii="Times New Roman" w:hAnsi="Times New Roman" w:cs="Times New Roman"/>
                <w:rFonts w:ascii="Times New Roman" w:hAnsi="Times New Roman"/>
                <w:b w:val="0"/>
                <w:i w:val="0"/>
                <w:sz w:val="18"/>
              </w:rPr>
              <w:t>84.26</w:t>
            </w:r>
          </w:p>
        </w:tc>
        <w:tc>
          <w:tcPr>
            <w:tcW w:type="dxa" w:w="2032"/>
          </w:tcPr>
          <w:p>
            <w:pPr>
              <w:jc w:val="center"/>
            </w:pPr>
            <w:r>
              <w:rPr>
                <w:rFonts w:ascii="Times New Roman" w:hAnsi="Times New Roman" w:cs="Times New Roman"/>
                <w:rFonts w:ascii="Times New Roman" w:hAnsi="Times New Roman"/>
                <w:b w:val="0"/>
                <w:i w:val="0"/>
                <w:sz w:val="18"/>
              </w:rPr>
              <w:t>88.04</w:t>
            </w:r>
          </w:p>
        </w:tc>
        <w:tc>
          <w:tcPr>
            <w:tcW w:type="dxa" w:w="2032"/>
          </w:tcPr>
          <w:p>
            <w:pPr>
              <w:jc w:val="center"/>
            </w:pPr>
            <w:r>
              <w:rPr>
                <w:rFonts w:ascii="Times New Roman" w:hAnsi="Times New Roman" w:cs="Times New Roman"/>
                <w:rFonts w:ascii="Times New Roman" w:hAnsi="Times New Roman"/>
                <w:b w:val="0"/>
                <w:i w:val="0"/>
                <w:sz w:val="18"/>
              </w:rPr>
              <w:t>12.7</w:t>
            </w:r>
          </w:p>
        </w:tc>
        <w:tc>
          <w:tcPr>
            <w:tcW w:type="dxa" w:w="2032"/>
          </w:tcPr>
          <w:p>
            <w:pPr>
              <w:jc w:val="center"/>
            </w:pPr>
            <w:r>
              <w:rPr>
                <w:rFonts w:ascii="Times New Roman" w:hAnsi="Times New Roman" w:cs="Times New Roman"/>
                <w:rFonts w:ascii="Times New Roman" w:hAnsi="Times New Roman"/>
                <w:b w:val="0"/>
                <w:i w:val="0"/>
                <w:sz w:val="18"/>
              </w:rPr>
              <w:t>10.7</w:t>
            </w:r>
          </w:p>
        </w:tc>
      </w:tr>
      <w:tr>
        <w:tc>
          <w:tcPr>
            <w:tcW w:type="dxa" w:w="2032"/>
          </w:tcPr>
          <w:p>
            <w:pPr>
              <w:jc w:val="center"/>
            </w:pPr>
            <w:r>
              <w:rPr>
                <w:rFonts w:ascii="Times New Roman" w:hAnsi="Times New Roman" w:cs="Times New Roman"/>
                <w:rFonts w:ascii="Times New Roman" w:hAnsi="Times New Roman"/>
                <w:b w:val="0"/>
                <w:i w:val="0"/>
                <w:sz w:val="18"/>
              </w:rPr>
              <w:t>ViT-B/16-224</w:t>
            </w:r>
          </w:p>
        </w:tc>
        <w:tc>
          <w:tcPr>
            <w:tcW w:type="dxa" w:w="2032"/>
          </w:tcPr>
          <w:p>
            <w:pPr>
              <w:jc w:val="center"/>
            </w:pPr>
            <w:r>
              <w:rPr>
                <w:rFonts w:ascii="Times New Roman" w:hAnsi="Times New Roman" w:cs="Times New Roman"/>
                <w:rFonts w:ascii="Times New Roman" w:hAnsi="Times New Roman"/>
                <w:b w:val="0"/>
                <w:i w:val="0"/>
                <w:sz w:val="18"/>
              </w:rPr>
              <w:t>84.70</w:t>
            </w:r>
          </w:p>
        </w:tc>
        <w:tc>
          <w:tcPr>
            <w:tcW w:type="dxa" w:w="2032"/>
          </w:tcPr>
          <w:p>
            <w:pPr>
              <w:jc w:val="center"/>
            </w:pPr>
            <w:r>
              <w:rPr>
                <w:rFonts w:ascii="Times New Roman" w:hAnsi="Times New Roman" w:cs="Times New Roman"/>
                <w:rFonts w:ascii="Times New Roman" w:hAnsi="Times New Roman"/>
                <w:b w:val="0"/>
                <w:i w:val="0"/>
                <w:sz w:val="18"/>
              </w:rPr>
              <w:t>88.47</w:t>
            </w:r>
          </w:p>
        </w:tc>
        <w:tc>
          <w:tcPr>
            <w:tcW w:type="dxa" w:w="2032"/>
          </w:tcPr>
          <w:p>
            <w:pPr>
              <w:jc w:val="center"/>
            </w:pPr>
            <w:r>
              <w:rPr>
                <w:rFonts w:ascii="Times New Roman" w:hAnsi="Times New Roman" w:cs="Times New Roman"/>
                <w:rFonts w:ascii="Times New Roman" w:hAnsi="Times New Roman"/>
                <w:b w:val="0"/>
                <w:i w:val="0"/>
                <w:sz w:val="18"/>
              </w:rPr>
              <w:t>8.5</w:t>
            </w:r>
          </w:p>
        </w:tc>
        <w:tc>
          <w:tcPr>
            <w:tcW w:type="dxa" w:w="2032"/>
          </w:tcPr>
          <w:p>
            <w:pPr>
              <w:jc w:val="center"/>
            </w:pPr>
            <w:r>
              <w:rPr>
                <w:rFonts w:ascii="Times New Roman" w:hAnsi="Times New Roman" w:cs="Times New Roman"/>
                <w:rFonts w:ascii="Times New Roman" w:hAnsi="Times New Roman"/>
                <w:b w:val="0"/>
                <w:i w:val="0"/>
                <w:sz w:val="18"/>
              </w:rPr>
              <w:t>85.8</w:t>
            </w:r>
          </w:p>
        </w:tc>
      </w:tr>
      <w:tr>
        <w:tc>
          <w:tcPr>
            <w:tcW w:type="dxa" w:w="2032"/>
          </w:tcPr>
          <w:p>
            <w:pPr>
              <w:jc w:val="center"/>
            </w:pPr>
            <w:r>
              <w:rPr>
                <w:rFonts w:ascii="Times New Roman" w:hAnsi="Times New Roman" w:cs="Times New Roman"/>
                <w:rFonts w:ascii="Times New Roman" w:hAnsi="Times New Roman"/>
                <w:b w:val="0"/>
                <w:i w:val="0"/>
                <w:sz w:val="18"/>
              </w:rPr>
              <w:t>Swin-Tiny</w:t>
            </w:r>
          </w:p>
        </w:tc>
        <w:tc>
          <w:tcPr>
            <w:tcW w:type="dxa" w:w="2032"/>
          </w:tcPr>
          <w:p>
            <w:pPr>
              <w:jc w:val="center"/>
            </w:pPr>
            <w:r>
              <w:rPr>
                <w:rFonts w:ascii="Times New Roman" w:hAnsi="Times New Roman" w:cs="Times New Roman"/>
                <w:rFonts w:ascii="Times New Roman" w:hAnsi="Times New Roman"/>
                <w:b/>
                <w:i w:val="0"/>
                <w:sz w:val="18"/>
              </w:rPr>
              <w:t>91.02</w:t>
            </w:r>
          </w:p>
        </w:tc>
        <w:tc>
          <w:tcPr>
            <w:tcW w:type="dxa" w:w="2032"/>
          </w:tcPr>
          <w:p>
            <w:pPr>
              <w:jc w:val="center"/>
            </w:pPr>
            <w:r>
              <w:rPr>
                <w:rFonts w:ascii="Times New Roman" w:hAnsi="Times New Roman" w:cs="Times New Roman"/>
                <w:rFonts w:ascii="Times New Roman" w:hAnsi="Times New Roman"/>
                <w:b/>
                <w:i w:val="0"/>
                <w:sz w:val="18"/>
              </w:rPr>
              <w:t>92.66</w:t>
            </w:r>
          </w:p>
        </w:tc>
        <w:tc>
          <w:tcPr>
            <w:tcW w:type="dxa" w:w="2032"/>
          </w:tcPr>
          <w:p>
            <w:pPr>
              <w:jc w:val="center"/>
            </w:pPr>
            <w:r>
              <w:rPr>
                <w:rFonts w:ascii="Times New Roman" w:hAnsi="Times New Roman" w:cs="Times New Roman"/>
                <w:rFonts w:ascii="Times New Roman" w:hAnsi="Times New Roman"/>
                <w:b w:val="0"/>
                <w:i w:val="0"/>
                <w:sz w:val="18"/>
              </w:rPr>
              <w:t>11.8</w:t>
            </w:r>
          </w:p>
        </w:tc>
        <w:tc>
          <w:tcPr>
            <w:tcW w:type="dxa" w:w="2032"/>
          </w:tcPr>
          <w:p>
            <w:pPr>
              <w:jc w:val="center"/>
            </w:pPr>
            <w:r>
              <w:rPr>
                <w:rFonts w:ascii="Times New Roman" w:hAnsi="Times New Roman" w:cs="Times New Roman"/>
                <w:rFonts w:ascii="Times New Roman" w:hAnsi="Times New Roman"/>
                <w:b w:val="0"/>
                <w:i w:val="0"/>
                <w:sz w:val="18"/>
              </w:rPr>
              <w:t>27.5</w:t>
            </w:r>
          </w:p>
        </w:tc>
      </w:tr>
      <w:tr>
        <w:tc>
          <w:tcPr>
            <w:tcW w:type="dxa" w:w="2032"/>
          </w:tcPr>
          <w:p>
            <w:pPr>
              <w:jc w:val="center"/>
            </w:pPr>
            <w:r>
              <w:rPr>
                <w:rFonts w:ascii="Times New Roman" w:hAnsi="Times New Roman" w:cs="Times New Roman"/>
                <w:rFonts w:ascii="Times New Roman" w:hAnsi="Times New Roman"/>
                <w:b w:val="0"/>
                <w:i w:val="0"/>
                <w:sz w:val="18"/>
              </w:rPr>
              <w:t>ViT-B/16-384</w:t>
            </w:r>
          </w:p>
        </w:tc>
        <w:tc>
          <w:tcPr>
            <w:tcW w:type="dxa" w:w="2032"/>
          </w:tcPr>
          <w:p>
            <w:pPr>
              <w:jc w:val="center"/>
            </w:pPr>
            <w:r>
              <w:rPr>
                <w:rFonts w:ascii="Times New Roman" w:hAnsi="Times New Roman" w:cs="Times New Roman"/>
                <w:rFonts w:ascii="Times New Roman" w:hAnsi="Times New Roman"/>
                <w:b w:val="0"/>
                <w:i w:val="0"/>
                <w:sz w:val="18"/>
              </w:rPr>
              <w:t>89.69</w:t>
            </w:r>
          </w:p>
        </w:tc>
        <w:tc>
          <w:tcPr>
            <w:tcW w:type="dxa" w:w="2032"/>
          </w:tcPr>
          <w:p>
            <w:pPr>
              <w:jc w:val="center"/>
            </w:pPr>
            <w:r>
              <w:rPr>
                <w:rFonts w:ascii="Times New Roman" w:hAnsi="Times New Roman" w:cs="Times New Roman"/>
                <w:rFonts w:ascii="Times New Roman" w:hAnsi="Times New Roman"/>
                <w:b w:val="0"/>
                <w:i w:val="0"/>
                <w:sz w:val="18"/>
              </w:rPr>
              <w:t>91.88</w:t>
            </w:r>
          </w:p>
        </w:tc>
        <w:tc>
          <w:tcPr>
            <w:tcW w:type="dxa" w:w="2032"/>
          </w:tcPr>
          <w:p>
            <w:pPr>
              <w:jc w:val="center"/>
            </w:pPr>
            <w:r>
              <w:rPr>
                <w:rFonts w:ascii="Times New Roman" w:hAnsi="Times New Roman" w:cs="Times New Roman"/>
                <w:rFonts w:ascii="Times New Roman" w:hAnsi="Times New Roman"/>
                <w:b w:val="0"/>
                <w:i w:val="0"/>
                <w:sz w:val="18"/>
              </w:rPr>
              <w:t>101.5</w:t>
            </w:r>
          </w:p>
        </w:tc>
        <w:tc>
          <w:tcPr>
            <w:tcW w:type="dxa" w:w="2032"/>
          </w:tcPr>
          <w:p>
            <w:pPr>
              <w:jc w:val="center"/>
            </w:pPr>
            <w:r>
              <w:rPr>
                <w:rFonts w:ascii="Times New Roman" w:hAnsi="Times New Roman" w:cs="Times New Roman"/>
                <w:rFonts w:ascii="Times New Roman" w:hAnsi="Times New Roman"/>
                <w:b w:val="0"/>
                <w:i w:val="0"/>
                <w:sz w:val="18"/>
              </w:rPr>
              <w:t>86.1</w:t>
            </w:r>
          </w:p>
        </w:tc>
      </w:tr>
    </w:tbl>
    <w:p>
      <w:pPr>
        <w:jc w:val="both"/>
        <w:spacing w:before="0" w:after="40"/>
        <w:ind w:firstLine="360"/>
      </w:pPr>
      <w:r>
        <w:rPr>
          <w:rFonts w:ascii="Times New Roman" w:hAnsi="Times New Roman" w:cs="Times New Roman"/>
          <w:rFonts w:ascii="Times New Roman" w:hAnsi="Times New Roman"/>
          <w:b w:val="0"/>
          <w:i w:val="0"/>
          <w:sz w:val="20"/>
        </w:rPr>
        <w:t>Close behind, ViT-224 performs about the same as EfficientNet-B3. Their results sit nearly side by side Though ResNet-50 scores lower at 81.61%, performance reaches nearly 88.5% F1 in contrast ResNet’s gap probably stems from missing long-range connections entirely note well: several unique traits appear throughout this collection — Shape across conidial structures, alongside patterns in branching complexity Arranged in layers, topology shows properties that span beyond single points; consider a sequence of 3 by 3 units stacked together Because convolutions process step by step, they miss simultaneous patterns. This delay A different perspective emerges clearly: ViT-384 processes each image in 101.5 milliseconds At 8.5 ms, twelve times below ViT-224’s speed, output drops sharply Close to ten pictures every second. This limitation affects everything A system designed to handle numerous samples at once begins operation. While one step finishes, another loads into place. After preparation comes analysis, followed by storage of results. Each specimen moves through stages without delay. Before the cycle ends, data gets reviewed automatically. Once complete, the next batch enters seamlessly clinic session.</w:t>
      </w:r>
    </w:p>
    <w:p>
      <w:pPr>
        <w:jc w:val="left"/>
        <w:spacing w:before="60" w:after="20"/>
      </w:pPr>
      <w:r>
        <w:rPr>
          <w:rFonts w:ascii="Times New Roman" w:hAnsi="Times New Roman" w:cs="Times New Roman"/>
          <w:rFonts w:ascii="Times New Roman" w:hAnsi="Times New Roman"/>
          <w:b w:val="0"/>
          <w:i/>
          <w:sz w:val="20"/>
        </w:rPr>
        <w:t>B. ACMF Fusion Strategies</w:t>
      </w:r>
    </w:p>
    <w:p>
      <w:pPr>
        <w:jc w:val="both"/>
        <w:spacing w:before="0" w:after="40"/>
        <w:ind w:firstLine="360"/>
      </w:pPr>
      <w:r>
        <w:rPr>
          <w:rFonts w:ascii="Times New Roman" w:hAnsi="Times New Roman" w:cs="Times New Roman"/>
          <w:rFonts w:ascii="Times New Roman" w:hAnsi="Times New Roman"/>
          <w:b w:val="0"/>
          <w:i w:val="0"/>
          <w:sz w:val="20"/>
        </w:rPr>
        <w:t>Results from Table III alongside Figure 1 reveal patterns across the four fusion methods When compared, S2 — adjusted for accuracy — shows the highest F1 macro score standing at 91.63%, a figure that exceeds ViT-224 by 3.16 points yet only inches ahead by 0.25 points Higher than ViT-384 when combining both encoders. S1 with S3 followed by S4 at 91.27%, while the prior group holds steady near 91.6%. Though slightly lower, both remain within a narrow margin overall When the MLP is trained, performance drops again to 88.59%.</w:t>
      </w:r>
    </w:p>
    <w:p>
      <w:pPr>
        <w:jc w:val="center"/>
        <w:spacing w:before="60" w:after="20"/>
      </w:pPr>
      <w:r>
        <w:rPr>
          <w:rFonts w:ascii="Times New Roman" w:hAnsi="Times New Roman" w:cs="Times New Roman"/>
          <w:rFonts w:ascii="Times New Roman" w:hAnsi="Times New Roman"/>
          <w:b/>
          <w:i w:val="0"/>
          <w:sz w:val="18"/>
        </w:rPr>
        <w:t>TABLE III.    ACMF FUSION STRATEGY COMPARISON (DEFUNGI TEST SET)</w:t>
      </w:r>
    </w:p>
    <w:tbl>
      <w:tblPr>
        <w:tblStyle w:val="TableGrid"/>
        <w:tblW w:type="auto" w:w="0"/>
        <w:jc w:val="center"/>
        <w:tblLook w:firstColumn="1" w:firstRow="1" w:lastColumn="0" w:lastRow="0" w:noHBand="0" w:noVBand="1" w:val="04A0"/>
      </w:tblPr>
      <w:tblGrid>
        <w:gridCol w:w="2032"/>
        <w:gridCol w:w="2032"/>
        <w:gridCol w:w="2032"/>
        <w:gridCol w:w="2032"/>
        <w:gridCol w:w="2032"/>
      </w:tblGrid>
      <w:tr>
        <w:tc>
          <w:tcPr>
            <w:tcW w:type="dxa" w:w="2032"/>
          </w:tcPr>
          <w:p>
            <w:pPr>
              <w:jc w:val="center"/>
            </w:pPr>
            <w:r>
              <w:rPr>
                <w:rFonts w:ascii="Times New Roman" w:hAnsi="Times New Roman" w:cs="Times New Roman"/>
                <w:rFonts w:ascii="Times New Roman" w:hAnsi="Times New Roman"/>
                <w:b/>
                <w:i w:val="0"/>
                <w:sz w:val="18"/>
              </w:rPr>
              <w:t>Strategy</w:t>
            </w:r>
          </w:p>
        </w:tc>
        <w:tc>
          <w:tcPr>
            <w:tcW w:type="dxa" w:w="2032"/>
          </w:tcPr>
          <w:p>
            <w:pPr>
              <w:jc w:val="center"/>
            </w:pPr>
            <w:r>
              <w:rPr>
                <w:rFonts w:ascii="Times New Roman" w:hAnsi="Times New Roman" w:cs="Times New Roman"/>
                <w:rFonts w:ascii="Times New Roman" w:hAnsi="Times New Roman"/>
                <w:b/>
                <w:i w:val="0"/>
                <w:sz w:val="18"/>
              </w:rPr>
              <w:t>Acc.(%)</w:t>
            </w:r>
          </w:p>
        </w:tc>
        <w:tc>
          <w:tcPr>
            <w:tcW w:type="dxa" w:w="2032"/>
          </w:tcPr>
          <w:p>
            <w:pPr>
              <w:jc w:val="center"/>
            </w:pPr>
            <w:r>
              <w:rPr>
                <w:rFonts w:ascii="Times New Roman" w:hAnsi="Times New Roman" w:cs="Times New Roman"/>
                <w:rFonts w:ascii="Times New Roman" w:hAnsi="Times New Roman"/>
                <w:b/>
                <w:i w:val="0"/>
                <w:sz w:val="18"/>
              </w:rPr>
              <w:t>F1-M(%)</w:t>
            </w:r>
          </w:p>
        </w:tc>
        <w:tc>
          <w:tcPr>
            <w:tcW w:type="dxa" w:w="2032"/>
          </w:tcPr>
          <w:p>
            <w:pPr>
              <w:jc w:val="center"/>
            </w:pPr>
            <w:r>
              <w:rPr>
                <w:rFonts w:ascii="Times New Roman" w:hAnsi="Times New Roman" w:cs="Times New Roman"/>
                <w:rFonts w:ascii="Times New Roman" w:hAnsi="Times New Roman"/>
                <w:b/>
                <w:i w:val="0"/>
                <w:sz w:val="18"/>
              </w:rPr>
              <w:t>F1-W(%)</w:t>
            </w:r>
          </w:p>
        </w:tc>
        <w:tc>
          <w:tcPr>
            <w:tcW w:type="dxa" w:w="2032"/>
          </w:tcPr>
          <w:p>
            <w:pPr>
              <w:jc w:val="center"/>
            </w:pPr>
            <w:r>
              <w:rPr>
                <w:rFonts w:ascii="Times New Roman" w:hAnsi="Times New Roman" w:cs="Times New Roman"/>
                <w:rFonts w:ascii="Times New Roman" w:hAnsi="Times New Roman"/>
                <w:b/>
                <w:i w:val="0"/>
                <w:sz w:val="18"/>
              </w:rPr>
              <w:t>Prec-M(%)</w:t>
            </w:r>
          </w:p>
        </w:tc>
      </w:tr>
      <w:tr>
        <w:tc>
          <w:tcPr>
            <w:tcW w:type="dxa" w:w="2032"/>
          </w:tcPr>
          <w:p>
            <w:pPr>
              <w:jc w:val="center"/>
            </w:pPr>
            <w:r>
              <w:rPr>
                <w:rFonts w:ascii="Times New Roman" w:hAnsi="Times New Roman" w:cs="Times New Roman"/>
                <w:rFonts w:ascii="Times New Roman" w:hAnsi="Times New Roman"/>
                <w:b w:val="0"/>
                <w:i w:val="0"/>
                <w:sz w:val="18"/>
              </w:rPr>
              <w:t>S1 Equal Weight</w:t>
            </w:r>
          </w:p>
        </w:tc>
        <w:tc>
          <w:tcPr>
            <w:tcW w:type="dxa" w:w="2032"/>
          </w:tcPr>
          <w:p>
            <w:pPr>
              <w:jc w:val="center"/>
            </w:pPr>
            <w:r>
              <w:rPr>
                <w:rFonts w:ascii="Times New Roman" w:hAnsi="Times New Roman" w:cs="Times New Roman"/>
                <w:rFonts w:ascii="Times New Roman" w:hAnsi="Times New Roman"/>
                <w:b w:val="0"/>
                <w:i w:val="0"/>
                <w:sz w:val="18"/>
              </w:rPr>
              <w:t>89.47</w:t>
            </w:r>
          </w:p>
        </w:tc>
        <w:tc>
          <w:tcPr>
            <w:tcW w:type="dxa" w:w="2032"/>
          </w:tcPr>
          <w:p>
            <w:pPr>
              <w:jc w:val="center"/>
            </w:pPr>
            <w:r>
              <w:rPr>
                <w:rFonts w:ascii="Times New Roman" w:hAnsi="Times New Roman" w:cs="Times New Roman"/>
                <w:rFonts w:ascii="Times New Roman" w:hAnsi="Times New Roman"/>
                <w:b w:val="0"/>
                <w:i w:val="0"/>
                <w:sz w:val="18"/>
              </w:rPr>
              <w:t>91.59</w:t>
            </w:r>
          </w:p>
        </w:tc>
        <w:tc>
          <w:tcPr>
            <w:tcW w:type="dxa" w:w="2032"/>
          </w:tcPr>
          <w:p>
            <w:pPr>
              <w:jc w:val="center"/>
            </w:pPr>
            <w:r>
              <w:rPr>
                <w:rFonts w:ascii="Times New Roman" w:hAnsi="Times New Roman" w:cs="Times New Roman"/>
                <w:rFonts w:ascii="Times New Roman" w:hAnsi="Times New Roman"/>
                <w:b w:val="0"/>
                <w:i w:val="0"/>
                <w:sz w:val="18"/>
              </w:rPr>
              <w:t>89.50</w:t>
            </w:r>
          </w:p>
        </w:tc>
        <w:tc>
          <w:tcPr>
            <w:tcW w:type="dxa" w:w="2032"/>
          </w:tcPr>
          <w:p>
            <w:pPr>
              <w:jc w:val="center"/>
            </w:pPr>
            <w:r>
              <w:rPr>
                <w:rFonts w:ascii="Times New Roman" w:hAnsi="Times New Roman" w:cs="Times New Roman"/>
                <w:rFonts w:ascii="Times New Roman" w:hAnsi="Times New Roman"/>
                <w:b w:val="0"/>
                <w:i w:val="0"/>
                <w:sz w:val="18"/>
              </w:rPr>
              <w:t>90.86</w:t>
            </w:r>
          </w:p>
        </w:tc>
      </w:tr>
      <w:tr>
        <w:tc>
          <w:tcPr>
            <w:tcW w:type="dxa" w:w="2032"/>
          </w:tcPr>
          <w:p>
            <w:pPr>
              <w:jc w:val="center"/>
            </w:pPr>
            <w:r>
              <w:rPr>
                <w:rFonts w:ascii="Times New Roman" w:hAnsi="Times New Roman" w:cs="Times New Roman"/>
                <w:rFonts w:ascii="Times New Roman" w:hAnsi="Times New Roman"/>
                <w:b w:val="0"/>
                <w:i w:val="0"/>
                <w:sz w:val="18"/>
              </w:rPr>
              <w:t>S2 Accuracy Weighted</w:t>
            </w:r>
          </w:p>
        </w:tc>
        <w:tc>
          <w:tcPr>
            <w:tcW w:type="dxa" w:w="2032"/>
          </w:tcPr>
          <w:p>
            <w:pPr>
              <w:jc w:val="center"/>
            </w:pPr>
            <w:r>
              <w:rPr>
                <w:rFonts w:ascii="Times New Roman" w:hAnsi="Times New Roman" w:cs="Times New Roman"/>
                <w:rFonts w:ascii="Times New Roman" w:hAnsi="Times New Roman"/>
                <w:b w:val="0"/>
                <w:i w:val="0"/>
                <w:sz w:val="18"/>
              </w:rPr>
              <w:t>89.36</w:t>
            </w:r>
          </w:p>
        </w:tc>
        <w:tc>
          <w:tcPr>
            <w:tcW w:type="dxa" w:w="2032"/>
          </w:tcPr>
          <w:p>
            <w:pPr>
              <w:jc w:val="center"/>
            </w:pPr>
            <w:r>
              <w:rPr>
                <w:rFonts w:ascii="Times New Roman" w:hAnsi="Times New Roman" w:cs="Times New Roman"/>
                <w:rFonts w:ascii="Times New Roman" w:hAnsi="Times New Roman"/>
                <w:b/>
                <w:i w:val="0"/>
                <w:sz w:val="18"/>
              </w:rPr>
              <w:t>91.63</w:t>
            </w:r>
          </w:p>
        </w:tc>
        <w:tc>
          <w:tcPr>
            <w:tcW w:type="dxa" w:w="2032"/>
          </w:tcPr>
          <w:p>
            <w:pPr>
              <w:jc w:val="center"/>
            </w:pPr>
            <w:r>
              <w:rPr>
                <w:rFonts w:ascii="Times New Roman" w:hAnsi="Times New Roman" w:cs="Times New Roman"/>
                <w:rFonts w:ascii="Times New Roman" w:hAnsi="Times New Roman"/>
                <w:b w:val="0"/>
                <w:i w:val="0"/>
                <w:sz w:val="18"/>
              </w:rPr>
              <w:t>89.39</w:t>
            </w:r>
          </w:p>
        </w:tc>
        <w:tc>
          <w:tcPr>
            <w:tcW w:type="dxa" w:w="2032"/>
          </w:tcPr>
          <w:p>
            <w:pPr>
              <w:jc w:val="center"/>
            </w:pPr>
            <w:r>
              <w:rPr>
                <w:rFonts w:ascii="Times New Roman" w:hAnsi="Times New Roman" w:cs="Times New Roman"/>
                <w:rFonts w:ascii="Times New Roman" w:hAnsi="Times New Roman"/>
                <w:b w:val="0"/>
                <w:i w:val="0"/>
                <w:sz w:val="18"/>
              </w:rPr>
              <w:t>90.80</w:t>
            </w:r>
          </w:p>
        </w:tc>
      </w:tr>
      <w:tr>
        <w:tc>
          <w:tcPr>
            <w:tcW w:type="dxa" w:w="2032"/>
          </w:tcPr>
          <w:p>
            <w:pPr>
              <w:jc w:val="center"/>
            </w:pPr>
            <w:r>
              <w:rPr>
                <w:rFonts w:ascii="Times New Roman" w:hAnsi="Times New Roman" w:cs="Times New Roman"/>
                <w:rFonts w:ascii="Times New Roman" w:hAnsi="Times New Roman"/>
                <w:b w:val="0"/>
                <w:i w:val="0"/>
                <w:sz w:val="18"/>
              </w:rPr>
              <w:t>S3 Confidence Guided</w:t>
            </w:r>
          </w:p>
        </w:tc>
        <w:tc>
          <w:tcPr>
            <w:tcW w:type="dxa" w:w="2032"/>
          </w:tcPr>
          <w:p>
            <w:pPr>
              <w:jc w:val="center"/>
            </w:pPr>
            <w:r>
              <w:rPr>
                <w:rFonts w:ascii="Times New Roman" w:hAnsi="Times New Roman" w:cs="Times New Roman"/>
                <w:rFonts w:ascii="Times New Roman" w:hAnsi="Times New Roman"/>
                <w:b w:val="0"/>
                <w:i w:val="0"/>
                <w:sz w:val="18"/>
              </w:rPr>
              <w:t>89.25</w:t>
            </w:r>
          </w:p>
        </w:tc>
        <w:tc>
          <w:tcPr>
            <w:tcW w:type="dxa" w:w="2032"/>
          </w:tcPr>
          <w:p>
            <w:pPr>
              <w:jc w:val="center"/>
            </w:pPr>
            <w:r>
              <w:rPr>
                <w:rFonts w:ascii="Times New Roman" w:hAnsi="Times New Roman" w:cs="Times New Roman"/>
                <w:rFonts w:ascii="Times New Roman" w:hAnsi="Times New Roman"/>
                <w:b w:val="0"/>
                <w:i w:val="0"/>
                <w:sz w:val="18"/>
              </w:rPr>
              <w:t>91.35</w:t>
            </w:r>
          </w:p>
        </w:tc>
        <w:tc>
          <w:tcPr>
            <w:tcW w:type="dxa" w:w="2032"/>
          </w:tcPr>
          <w:p>
            <w:pPr>
              <w:jc w:val="center"/>
            </w:pPr>
            <w:r>
              <w:rPr>
                <w:rFonts w:ascii="Times New Roman" w:hAnsi="Times New Roman" w:cs="Times New Roman"/>
                <w:rFonts w:ascii="Times New Roman" w:hAnsi="Times New Roman"/>
                <w:b w:val="0"/>
                <w:i w:val="0"/>
                <w:sz w:val="18"/>
              </w:rPr>
              <w:t>89.29</w:t>
            </w:r>
          </w:p>
        </w:tc>
        <w:tc>
          <w:tcPr>
            <w:tcW w:type="dxa" w:w="2032"/>
          </w:tcPr>
          <w:p>
            <w:pPr>
              <w:jc w:val="center"/>
            </w:pPr>
            <w:r>
              <w:rPr>
                <w:rFonts w:ascii="Times New Roman" w:hAnsi="Times New Roman" w:cs="Times New Roman"/>
                <w:rFonts w:ascii="Times New Roman" w:hAnsi="Times New Roman"/>
                <w:b w:val="0"/>
                <w:i w:val="0"/>
                <w:sz w:val="18"/>
              </w:rPr>
              <w:t>90.71</w:t>
            </w:r>
          </w:p>
        </w:tc>
      </w:tr>
      <w:tr>
        <w:tc>
          <w:tcPr>
            <w:tcW w:type="dxa" w:w="2032"/>
          </w:tcPr>
          <w:p>
            <w:pPr>
              <w:jc w:val="center"/>
            </w:pPr>
            <w:r>
              <w:rPr>
                <w:rFonts w:ascii="Times New Roman" w:hAnsi="Times New Roman" w:cs="Times New Roman"/>
                <w:rFonts w:ascii="Times New Roman" w:hAnsi="Times New Roman"/>
                <w:b w:val="0"/>
                <w:i w:val="0"/>
                <w:sz w:val="18"/>
              </w:rPr>
              <w:t>S4 Learnable MLP</w:t>
            </w:r>
          </w:p>
        </w:tc>
        <w:tc>
          <w:tcPr>
            <w:tcW w:type="dxa" w:w="2032"/>
          </w:tcPr>
          <w:p>
            <w:pPr>
              <w:jc w:val="center"/>
            </w:pPr>
            <w:r>
              <w:rPr>
                <w:rFonts w:ascii="Times New Roman" w:hAnsi="Times New Roman" w:cs="Times New Roman"/>
                <w:rFonts w:ascii="Times New Roman" w:hAnsi="Times New Roman"/>
                <w:b w:val="0"/>
                <w:i w:val="0"/>
                <w:sz w:val="18"/>
              </w:rPr>
              <w:t>84.92</w:t>
            </w:r>
          </w:p>
        </w:tc>
        <w:tc>
          <w:tcPr>
            <w:tcW w:type="dxa" w:w="2032"/>
          </w:tcPr>
          <w:p>
            <w:pPr>
              <w:jc w:val="center"/>
            </w:pPr>
            <w:r>
              <w:rPr>
                <w:rFonts w:ascii="Times New Roman" w:hAnsi="Times New Roman" w:cs="Times New Roman"/>
                <w:rFonts w:ascii="Times New Roman" w:hAnsi="Times New Roman"/>
                <w:b w:val="0"/>
                <w:i w:val="0"/>
                <w:sz w:val="18"/>
              </w:rPr>
              <w:t>88.59</w:t>
            </w:r>
          </w:p>
        </w:tc>
        <w:tc>
          <w:tcPr>
            <w:tcW w:type="dxa" w:w="2032"/>
          </w:tcPr>
          <w:p>
            <w:pPr>
              <w:jc w:val="center"/>
            </w:pPr>
            <w:r>
              <w:rPr>
                <w:rFonts w:ascii="Times New Roman" w:hAnsi="Times New Roman" w:cs="Times New Roman"/>
                <w:rFonts w:ascii="Times New Roman" w:hAnsi="Times New Roman"/>
                <w:b w:val="0"/>
                <w:i w:val="0"/>
                <w:sz w:val="18"/>
              </w:rPr>
              <w:t>85.07</w:t>
            </w:r>
          </w:p>
        </w:tc>
        <w:tc>
          <w:tcPr>
            <w:tcW w:type="dxa" w:w="2032"/>
          </w:tcPr>
          <w:p>
            <w:pPr>
              <w:jc w:val="center"/>
            </w:pPr>
            <w:r>
              <w:rPr>
                <w:rFonts w:ascii="Times New Roman" w:hAnsi="Times New Roman" w:cs="Times New Roman"/>
                <w:rFonts w:ascii="Times New Roman" w:hAnsi="Times New Roman"/>
                <w:b w:val="0"/>
                <w:i w:val="0"/>
                <w:sz w:val="18"/>
              </w:rPr>
              <w:t>87.96</w:t>
            </w:r>
          </w:p>
        </w:tc>
      </w:tr>
      <w:tr>
        <w:tc>
          <w:tcPr>
            <w:tcW w:type="dxa" w:w="2032"/>
          </w:tcPr>
          <w:p>
            <w:pPr>
              <w:jc w:val="center"/>
            </w:pPr>
            <w:r>
              <w:rPr>
                <w:rFonts w:ascii="Times New Roman" w:hAnsi="Times New Roman" w:cs="Times New Roman"/>
                <w:rFonts w:ascii="Times New Roman" w:hAnsi="Times New Roman"/>
                <w:b w:val="0"/>
                <w:i w:val="0"/>
                <w:sz w:val="18"/>
              </w:rPr>
              <w:t>ViT-224 (ref.)</w:t>
            </w:r>
          </w:p>
        </w:tc>
        <w:tc>
          <w:tcPr>
            <w:tcW w:type="dxa" w:w="2032"/>
          </w:tcPr>
          <w:p>
            <w:pPr>
              <w:jc w:val="center"/>
            </w:pPr>
            <w:r>
              <w:rPr>
                <w:rFonts w:ascii="Times New Roman" w:hAnsi="Times New Roman" w:cs="Times New Roman"/>
                <w:rFonts w:ascii="Times New Roman" w:hAnsi="Times New Roman"/>
                <w:b w:val="0"/>
                <w:i w:val="0"/>
                <w:sz w:val="18"/>
              </w:rPr>
              <w:t>84.70</w:t>
            </w:r>
          </w:p>
        </w:tc>
        <w:tc>
          <w:tcPr>
            <w:tcW w:type="dxa" w:w="2032"/>
          </w:tcPr>
          <w:p>
            <w:pPr>
              <w:jc w:val="center"/>
            </w:pPr>
            <w:r>
              <w:rPr>
                <w:rFonts w:ascii="Times New Roman" w:hAnsi="Times New Roman" w:cs="Times New Roman"/>
                <w:rFonts w:ascii="Times New Roman" w:hAnsi="Times New Roman"/>
                <w:b w:val="0"/>
                <w:i w:val="0"/>
                <w:sz w:val="18"/>
              </w:rPr>
              <w:t>88.47</w:t>
            </w:r>
          </w:p>
        </w:tc>
        <w:tc>
          <w:tcPr>
            <w:tcW w:type="dxa" w:w="2032"/>
          </w:tcPr>
          <w:p>
            <w:pPr>
              <w:jc w:val="center"/>
            </w:pPr>
            <w:r>
              <w:rPr>
                <w:rFonts w:ascii="Times New Roman" w:hAnsi="Times New Roman" w:cs="Times New Roman"/>
                <w:rFonts w:ascii="Times New Roman" w:hAnsi="Times New Roman"/>
                <w:b w:val="0"/>
                <w:i w:val="0"/>
                <w:sz w:val="18"/>
              </w:rPr>
              <w:t>84.86</w:t>
            </w:r>
          </w:p>
        </w:tc>
        <w:tc>
          <w:tcPr>
            <w:tcW w:type="dxa" w:w="2032"/>
          </w:tcPr>
          <w:p>
            <w:pPr>
              <w:jc w:val="center"/>
            </w:pPr>
            <w:r>
              <w:rPr>
                <w:rFonts w:ascii="Times New Roman" w:hAnsi="Times New Roman" w:cs="Times New Roman"/>
                <w:rFonts w:ascii="Times New Roman" w:hAnsi="Times New Roman"/>
                <w:b w:val="0"/>
                <w:i w:val="0"/>
                <w:sz w:val="18"/>
              </w:rPr>
              <w:t>87.84</w:t>
            </w:r>
          </w:p>
        </w:tc>
      </w:tr>
      <w:tr>
        <w:tc>
          <w:tcPr>
            <w:tcW w:type="dxa" w:w="2032"/>
          </w:tcPr>
          <w:p>
            <w:pPr>
              <w:jc w:val="center"/>
            </w:pPr>
            <w:r>
              <w:rPr>
                <w:rFonts w:ascii="Times New Roman" w:hAnsi="Times New Roman" w:cs="Times New Roman"/>
                <w:rFonts w:ascii="Times New Roman" w:hAnsi="Times New Roman"/>
                <w:b w:val="0"/>
                <w:i w:val="0"/>
                <w:sz w:val="18"/>
              </w:rPr>
              <w:t>ViT-384 (ref.)</w:t>
            </w:r>
          </w:p>
        </w:tc>
        <w:tc>
          <w:tcPr>
            <w:tcW w:type="dxa" w:w="2032"/>
          </w:tcPr>
          <w:p>
            <w:pPr>
              <w:jc w:val="center"/>
            </w:pPr>
            <w:r>
              <w:rPr>
                <w:rFonts w:ascii="Times New Roman" w:hAnsi="Times New Roman" w:cs="Times New Roman"/>
                <w:rFonts w:ascii="Times New Roman" w:hAnsi="Times New Roman"/>
                <w:b w:val="0"/>
                <w:i w:val="0"/>
                <w:sz w:val="18"/>
              </w:rPr>
              <w:t>89.69</w:t>
            </w:r>
          </w:p>
        </w:tc>
        <w:tc>
          <w:tcPr>
            <w:tcW w:type="dxa" w:w="2032"/>
          </w:tcPr>
          <w:p>
            <w:pPr>
              <w:jc w:val="center"/>
            </w:pPr>
            <w:r>
              <w:rPr>
                <w:rFonts w:ascii="Times New Roman" w:hAnsi="Times New Roman" w:cs="Times New Roman"/>
                <w:rFonts w:ascii="Times New Roman" w:hAnsi="Times New Roman"/>
                <w:b w:val="0"/>
                <w:i w:val="0"/>
                <w:sz w:val="18"/>
              </w:rPr>
              <w:t>91.88</w:t>
            </w:r>
          </w:p>
        </w:tc>
        <w:tc>
          <w:tcPr>
            <w:tcW w:type="dxa" w:w="2032"/>
          </w:tcPr>
          <w:p>
            <w:pPr>
              <w:jc w:val="center"/>
            </w:pPr>
            <w:r>
              <w:rPr>
                <w:rFonts w:ascii="Times New Roman" w:hAnsi="Times New Roman" w:cs="Times New Roman"/>
                <w:rFonts w:ascii="Times New Roman" w:hAnsi="Times New Roman"/>
                <w:b w:val="0"/>
                <w:i w:val="0"/>
                <w:sz w:val="18"/>
              </w:rPr>
              <w:t>89.70</w:t>
            </w:r>
          </w:p>
        </w:tc>
        <w:tc>
          <w:tcPr>
            <w:tcW w:type="dxa" w:w="2032"/>
          </w:tcPr>
          <w:p>
            <w:pPr>
              <w:jc w:val="center"/>
            </w:pPr>
            <w:r>
              <w:rPr>
                <w:rFonts w:ascii="Times New Roman" w:hAnsi="Times New Roman" w:cs="Times New Roman"/>
                <w:rFonts w:ascii="Times New Roman" w:hAnsi="Times New Roman"/>
                <w:b w:val="0"/>
                <w:i w:val="0"/>
                <w:sz w:val="18"/>
              </w:rPr>
              <w:t>91.41</w:t>
            </w:r>
          </w:p>
        </w:tc>
      </w:tr>
    </w:tbl>
    <w:p>
      <w:pPr>
        <w:jc w:val="center"/>
        <w:spacing w:before="60" w:after="20"/>
      </w:pPr>
      <w:r>
        <w:rPr>
          <w:rFonts w:ascii="Times New Roman" w:hAnsi="Times New Roman" w:cs="Times New Roman"/>
          <w:rFonts w:ascii="Times New Roman" w:hAnsi="Times New Roman"/>
          <w:b w:val="0"/>
          <w:i/>
          <w:sz w:val="18"/>
        </w:rPr>
        <w:t>[Figure 1: ACMF Fusion Strategy Comparison Bar Chart]</w:t>
      </w:r>
    </w:p>
    <w:p>
      <w:pPr>
        <w:jc w:val="center"/>
        <w:spacing w:before="0" w:after="60"/>
      </w:pPr>
      <w:r>
        <w:rPr>
          <w:rFonts w:ascii="Times New Roman" w:hAnsi="Times New Roman" w:cs="Times New Roman"/>
          <w:rFonts w:ascii="Times New Roman" w:hAnsi="Times New Roman"/>
          <w:b w:val="0"/>
          <w:i w:val="0"/>
          <w:sz w:val="18"/>
        </w:rPr>
        <w:t>Fig. 1.  F1 macro and accuracy scores for all four ACMF fusion strategies, each shown in a distinct colour.</w:t>
      </w:r>
    </w:p>
    <w:p>
      <w:pPr>
        <w:jc w:val="both"/>
        <w:spacing w:before="0" w:after="40"/>
        <w:ind w:firstLine="360"/>
      </w:pPr>
      <w:r>
        <w:rPr>
          <w:rFonts w:ascii="Times New Roman" w:hAnsi="Times New Roman" w:cs="Times New Roman"/>
          <w:rFonts w:ascii="Times New Roman" w:hAnsi="Times New Roman"/>
          <w:b w:val="0"/>
          <w:i w:val="0"/>
          <w:sz w:val="20"/>
        </w:rPr>
        <w:t>The narrow gap between S1 S2 and S3 just 0.28 points Ranking outcomes (starting at the lowest) offers insight on its own. This implies that the primary benefit of the ACMF framework comes from Putting together two resolutions entirely, though never due to the specific mech — One method applies a system to assign value. These approaches rely mostly on practical rules Though differing slightly, they perform similarly on macro F1, a sign that improvements hold steady even when conditions shift. That consistency suggests strength in design, not just fine-tuned luck Adjusting the parameters within the weight assignment method.</w:t>
      </w:r>
    </w:p>
    <w:p>
      <w:pPr>
        <w:jc w:val="both"/>
        <w:spacing w:before="0" w:after="40"/>
        <w:ind w:firstLine="360"/>
      </w:pPr>
      <w:r>
        <w:rPr>
          <w:rFonts w:ascii="Times New Roman" w:hAnsi="Times New Roman" w:cs="Times New Roman"/>
          <w:rFonts w:ascii="Times New Roman" w:hAnsi="Times New Roman"/>
          <w:b w:val="0"/>
          <w:i w:val="0"/>
          <w:sz w:val="20"/>
        </w:rPr>
        <w:t>Looking at S4’s weaker results calls for a closer look. That pattern stands out when compared to the MLP Most expressive by nature, the head moves with subtle shifts. Yet its range depends on context alone. Without gesture support, impact fades quickly. Expression grows stronger when paired with posture cues. Still, limitations appear under stress. In calm moments, clarity rises easily Though limited to just 5,000 training samples, the model still uses a dual-encoder setup with softmax scoring. Each encoder processes inputs separately before comparing outputs through probability-based alignment A point moves through ten dimensions where shape shifts occur unpredictably. Structure transforms as coordinates evolve across layered directions. Dimensions reconfigure while vectors follow new alignments. Direction alters when spatial rules change without warning. Movement continues even as framework bends into unfamiliar forms Some encoders might differ slightly based solely on their initial calibration moment Optimising this process proves challenging due to its complexity. Despite the difficulties, progress emerges slowly through trial. Small adjustments often lead to better outcomes over time. Each tweak builds on earlier attempts without guaranteeing success. The path forward remains uncertain at every step A handful of measurements. Despite limited information, S3 uses entropy as a guiding principle wholly — it functions without instruction, avoiding assumptions about data patterns yet still matches the performance of S1 alongside S2 Though producing a clear confidence measure for each image as a byproduct.</w:t>
      </w:r>
    </w:p>
    <w:p>
      <w:pPr>
        <w:jc w:val="both"/>
        <w:spacing w:before="0" w:after="40"/>
        <w:ind w:firstLine="360"/>
      </w:pPr>
      <w:r>
        <w:rPr>
          <w:rFonts w:ascii="Times New Roman" w:hAnsi="Times New Roman" w:cs="Times New Roman"/>
          <w:rFonts w:ascii="Times New Roman" w:hAnsi="Times New Roman"/>
          <w:b w:val="0"/>
          <w:i w:val="0"/>
          <w:sz w:val="20"/>
        </w:rPr>
        <w:t>When it comes to how clearly S3 can be understood, examining the recorded weight pairings offers insight (w₂₂₄⁽⁩⁾, w₃₈₄⁽⁩⁾) Throughout the evaluation data, it became clear that ViT-224 showed consistent patterns Got consistently greater importance — less uncertainty — in H5 H6 samples show traits best seen at larger scales Appearing clearly under regular magnification, its form stands out without needing enhanced detail — ViT-384 Throughout H2 and H3, clear dominance appears through delicate hyphal wall structures. Fine details emerge under close observation. These features stand out distinctly within both sections. Subtle textures reveal themselves gradually. Structure clarity improves at higher magnification levels What sets them apart lies in how far apart the septa are placed. That detail alone makes the difference clear It might seem obvious, yet watching how the model acts matches what you’d think Deep within fungal patterns, insight emerges not through proof but recognition. What feels right often bypasses logic entirely. Patterns click when least expected. A sense unfolds slowly, shaped by repeated observation. Knowing arrives without explanation sometimes. Experience feeds quiet certainty over time The peak performance metric in classification tasks.</w:t>
      </w:r>
    </w:p>
    <w:p>
      <w:pPr>
        <w:jc w:val="left"/>
        <w:spacing w:before="60" w:after="20"/>
      </w:pPr>
      <w:r>
        <w:rPr>
          <w:rFonts w:ascii="Times New Roman" w:hAnsi="Times New Roman" w:cs="Times New Roman"/>
          <w:rFonts w:ascii="Times New Roman" w:hAnsi="Times New Roman"/>
          <w:b w:val="0"/>
          <w:i/>
          <w:sz w:val="20"/>
        </w:rPr>
        <w:t>C. Per-Class Analysis</w:t>
      </w:r>
    </w:p>
    <w:p>
      <w:pPr>
        <w:jc w:val="both"/>
        <w:spacing w:before="0" w:after="40"/>
        <w:ind w:firstLine="360"/>
      </w:pPr>
      <w:r>
        <w:rPr>
          <w:rFonts w:ascii="Times New Roman" w:hAnsi="Times New Roman" w:cs="Times New Roman"/>
          <w:rFonts w:ascii="Times New Roman" w:hAnsi="Times New Roman"/>
          <w:b w:val="0"/>
          <w:i w:val="0"/>
          <w:sz w:val="20"/>
        </w:rPr>
        <w:t>Looking at Table IV, outcomes are sorted by class. This reveals a consistent trend Across every model, one pattern stands out — H2 (A. niger) consistently ranks as the most difficult category H5 along with H6 stand out as simplest. At 60.09%, ResNet-50’s H2 reaches an F1 score stays notably low — about 25 percent of H2 samples fall into this range Some get overlooked entirely. Others mix up identities across similar kinds. Focus matters — yet slips often Here, models built on newer architectures perform significantly stronger — ViT-384 hits 82.80%. While older designs lag behind, this version shows what’s possible through refined attention layers. Its accuracy stands out clearly when tested under identical conditions Global context appears important, given Swin-Tiny reached 85.22% For identifying A. niger, progress has been notable. Yet challenges remain present surprising; A. niger specimens in this dataset show substantial Conidial head dimensions shift slightly when branch angles change. Sometimes, larger structures appear alongside narrower forks. Branching patterns differ across specimens. Size alters as angles widen or tighten. Differences emerge under close examination. Shape adjustments occur with angular shifts. Dimensions respond to structural changes Depending on how they grow, these factors become more elusive to identify compared to Four additional types exist apart from that group.</w:t>
      </w:r>
    </w:p>
    <w:p>
      <w:pPr>
        <w:jc w:val="center"/>
        <w:spacing w:before="60" w:after="20"/>
      </w:pPr>
      <w:r>
        <w:rPr>
          <w:rFonts w:ascii="Times New Roman" w:hAnsi="Times New Roman" w:cs="Times New Roman"/>
          <w:rFonts w:ascii="Times New Roman" w:hAnsi="Times New Roman"/>
          <w:b/>
          <w:i w:val="0"/>
          <w:sz w:val="18"/>
        </w:rPr>
        <w:t>TABLE IV.    PER-CLASS F1 SCORE (%) — DEFUNGI TEST SET</w:t>
      </w:r>
    </w:p>
    <w:tbl>
      <w:tblPr>
        <w:tblStyle w:val="TableGrid"/>
        <w:tblW w:type="auto" w:w="0"/>
        <w:jc w:val="center"/>
        <w:tblLook w:firstColumn="1" w:firstRow="1" w:lastColumn="0" w:lastRow="0" w:noHBand="0" w:noVBand="1" w:val="04A0"/>
      </w:tblPr>
      <w:tblGrid>
        <w:gridCol w:w="1451"/>
        <w:gridCol w:w="1451"/>
        <w:gridCol w:w="1451"/>
        <w:gridCol w:w="1451"/>
        <w:gridCol w:w="1451"/>
        <w:gridCol w:w="1451"/>
        <w:gridCol w:w="1451"/>
      </w:tblGrid>
      <w:tr>
        <w:tc>
          <w:tcPr>
            <w:tcW w:type="dxa" w:w="1451"/>
          </w:tcPr>
          <w:p>
            <w:pPr>
              <w:jc w:val="center"/>
            </w:pPr>
            <w:r>
              <w:rPr>
                <w:rFonts w:ascii="Times New Roman" w:hAnsi="Times New Roman" w:cs="Times New Roman"/>
                <w:rFonts w:ascii="Times New Roman" w:hAnsi="Times New Roman"/>
                <w:b/>
                <w:i w:val="0"/>
                <w:sz w:val="18"/>
              </w:rPr>
              <w:t>Model</w:t>
            </w:r>
          </w:p>
        </w:tc>
        <w:tc>
          <w:tcPr>
            <w:tcW w:type="dxa" w:w="1451"/>
          </w:tcPr>
          <w:p>
            <w:pPr>
              <w:jc w:val="center"/>
            </w:pPr>
            <w:r>
              <w:rPr>
                <w:rFonts w:ascii="Times New Roman" w:hAnsi="Times New Roman" w:cs="Times New Roman"/>
                <w:rFonts w:ascii="Times New Roman" w:hAnsi="Times New Roman"/>
                <w:b/>
                <w:i w:val="0"/>
                <w:sz w:val="18"/>
              </w:rPr>
              <w:t>H1</w:t>
            </w:r>
          </w:p>
        </w:tc>
        <w:tc>
          <w:tcPr>
            <w:tcW w:type="dxa" w:w="1451"/>
          </w:tcPr>
          <w:p>
            <w:pPr>
              <w:jc w:val="center"/>
            </w:pPr>
            <w:r>
              <w:rPr>
                <w:rFonts w:ascii="Times New Roman" w:hAnsi="Times New Roman" w:cs="Times New Roman"/>
                <w:rFonts w:ascii="Times New Roman" w:hAnsi="Times New Roman"/>
                <w:b/>
                <w:i w:val="0"/>
                <w:sz w:val="18"/>
              </w:rPr>
              <w:t>H2</w:t>
            </w:r>
          </w:p>
        </w:tc>
        <w:tc>
          <w:tcPr>
            <w:tcW w:type="dxa" w:w="1451"/>
          </w:tcPr>
          <w:p>
            <w:pPr>
              <w:jc w:val="center"/>
            </w:pPr>
            <w:r>
              <w:rPr>
                <w:rFonts w:ascii="Times New Roman" w:hAnsi="Times New Roman" w:cs="Times New Roman"/>
                <w:rFonts w:ascii="Times New Roman" w:hAnsi="Times New Roman"/>
                <w:b/>
                <w:i w:val="0"/>
                <w:sz w:val="18"/>
              </w:rPr>
              <w:t>H3</w:t>
            </w:r>
          </w:p>
        </w:tc>
        <w:tc>
          <w:tcPr>
            <w:tcW w:type="dxa" w:w="1451"/>
          </w:tcPr>
          <w:p>
            <w:pPr>
              <w:jc w:val="center"/>
            </w:pPr>
            <w:r>
              <w:rPr>
                <w:rFonts w:ascii="Times New Roman" w:hAnsi="Times New Roman" w:cs="Times New Roman"/>
                <w:rFonts w:ascii="Times New Roman" w:hAnsi="Times New Roman"/>
                <w:b/>
                <w:i w:val="0"/>
                <w:sz w:val="18"/>
              </w:rPr>
              <w:t>H5</w:t>
            </w:r>
          </w:p>
        </w:tc>
        <w:tc>
          <w:tcPr>
            <w:tcW w:type="dxa" w:w="1451"/>
          </w:tcPr>
          <w:p>
            <w:pPr>
              <w:jc w:val="center"/>
            </w:pPr>
            <w:r>
              <w:rPr>
                <w:rFonts w:ascii="Times New Roman" w:hAnsi="Times New Roman" w:cs="Times New Roman"/>
                <w:rFonts w:ascii="Times New Roman" w:hAnsi="Times New Roman"/>
                <w:b/>
                <w:i w:val="0"/>
                <w:sz w:val="18"/>
              </w:rPr>
              <w:t>H6</w:t>
            </w:r>
          </w:p>
        </w:tc>
        <w:tc>
          <w:tcPr>
            <w:tcW w:type="dxa" w:w="1451"/>
          </w:tcPr>
          <w:p>
            <w:pPr>
              <w:jc w:val="center"/>
            </w:pPr>
            <w:r>
              <w:rPr>
                <w:rFonts w:ascii="Times New Roman" w:hAnsi="Times New Roman" w:cs="Times New Roman"/>
                <w:rFonts w:ascii="Times New Roman" w:hAnsi="Times New Roman"/>
                <w:b/>
                <w:i w:val="0"/>
                <w:sz w:val="18"/>
              </w:rPr>
              <w:t>F1-M</w:t>
            </w:r>
          </w:p>
        </w:tc>
      </w:tr>
      <w:tr>
        <w:tc>
          <w:tcPr>
            <w:tcW w:type="dxa" w:w="1451"/>
          </w:tcPr>
          <w:p>
            <w:pPr>
              <w:jc w:val="center"/>
            </w:pPr>
            <w:r>
              <w:rPr>
                <w:rFonts w:ascii="Times New Roman" w:hAnsi="Times New Roman" w:cs="Times New Roman"/>
                <w:rFonts w:ascii="Times New Roman" w:hAnsi="Times New Roman"/>
                <w:b w:val="0"/>
                <w:i w:val="0"/>
                <w:sz w:val="18"/>
              </w:rPr>
              <w:t>ResNet-50</w:t>
            </w:r>
          </w:p>
        </w:tc>
        <w:tc>
          <w:tcPr>
            <w:tcW w:type="dxa" w:w="1451"/>
          </w:tcPr>
          <w:p>
            <w:pPr>
              <w:jc w:val="center"/>
            </w:pPr>
            <w:r>
              <w:rPr>
                <w:rFonts w:ascii="Times New Roman" w:hAnsi="Times New Roman" w:cs="Times New Roman"/>
                <w:rFonts w:ascii="Times New Roman" w:hAnsi="Times New Roman"/>
                <w:b w:val="0"/>
                <w:i w:val="0"/>
                <w:sz w:val="18"/>
              </w:rPr>
              <w:t>82.96</w:t>
            </w:r>
          </w:p>
        </w:tc>
        <w:tc>
          <w:tcPr>
            <w:tcW w:type="dxa" w:w="1451"/>
          </w:tcPr>
          <w:p>
            <w:pPr>
              <w:jc w:val="center"/>
            </w:pPr>
            <w:r>
              <w:rPr>
                <w:rFonts w:ascii="Times New Roman" w:hAnsi="Times New Roman" w:cs="Times New Roman"/>
                <w:rFonts w:ascii="Times New Roman" w:hAnsi="Times New Roman"/>
                <w:b w:val="0"/>
                <w:i w:val="0"/>
                <w:sz w:val="18"/>
              </w:rPr>
              <w:t>60.09</w:t>
            </w:r>
          </w:p>
        </w:tc>
        <w:tc>
          <w:tcPr>
            <w:tcW w:type="dxa" w:w="1451"/>
          </w:tcPr>
          <w:p>
            <w:pPr>
              <w:jc w:val="center"/>
            </w:pPr>
            <w:r>
              <w:rPr>
                <w:rFonts w:ascii="Times New Roman" w:hAnsi="Times New Roman" w:cs="Times New Roman"/>
                <w:rFonts w:ascii="Times New Roman" w:hAnsi="Times New Roman"/>
                <w:b w:val="0"/>
                <w:i w:val="0"/>
                <w:sz w:val="18"/>
              </w:rPr>
              <w:t>79.78</w:t>
            </w:r>
          </w:p>
        </w:tc>
        <w:tc>
          <w:tcPr>
            <w:tcW w:type="dxa" w:w="1451"/>
          </w:tcPr>
          <w:p>
            <w:pPr>
              <w:jc w:val="center"/>
            </w:pPr>
            <w:r>
              <w:rPr>
                <w:rFonts w:ascii="Times New Roman" w:hAnsi="Times New Roman" w:cs="Times New Roman"/>
                <w:rFonts w:ascii="Times New Roman" w:hAnsi="Times New Roman"/>
                <w:b w:val="0"/>
                <w:i w:val="0"/>
                <w:sz w:val="18"/>
              </w:rPr>
              <w:t>92.59</w:t>
            </w:r>
          </w:p>
        </w:tc>
        <w:tc>
          <w:tcPr>
            <w:tcW w:type="dxa" w:w="1451"/>
          </w:tcPr>
          <w:p>
            <w:pPr>
              <w:jc w:val="center"/>
            </w:pPr>
            <w:r>
              <w:rPr>
                <w:rFonts w:ascii="Times New Roman" w:hAnsi="Times New Roman" w:cs="Times New Roman"/>
                <w:rFonts w:ascii="Times New Roman" w:hAnsi="Times New Roman"/>
                <w:b w:val="0"/>
                <w:i w:val="0"/>
                <w:sz w:val="18"/>
              </w:rPr>
              <w:t>92.65</w:t>
            </w:r>
          </w:p>
        </w:tc>
        <w:tc>
          <w:tcPr>
            <w:tcW w:type="dxa" w:w="1451"/>
          </w:tcPr>
          <w:p>
            <w:pPr>
              <w:jc w:val="center"/>
            </w:pPr>
            <w:r>
              <w:rPr>
                <w:rFonts w:ascii="Times New Roman" w:hAnsi="Times New Roman" w:cs="Times New Roman"/>
                <w:rFonts w:ascii="Times New Roman" w:hAnsi="Times New Roman"/>
                <w:b w:val="0"/>
                <w:i w:val="0"/>
                <w:sz w:val="18"/>
              </w:rPr>
              <w:t>81.61</w:t>
            </w:r>
          </w:p>
        </w:tc>
      </w:tr>
      <w:tr>
        <w:tc>
          <w:tcPr>
            <w:tcW w:type="dxa" w:w="1451"/>
          </w:tcPr>
          <w:p>
            <w:pPr>
              <w:jc w:val="center"/>
            </w:pPr>
            <w:r>
              <w:rPr>
                <w:rFonts w:ascii="Times New Roman" w:hAnsi="Times New Roman" w:cs="Times New Roman"/>
                <w:rFonts w:ascii="Times New Roman" w:hAnsi="Times New Roman"/>
                <w:b w:val="0"/>
                <w:i w:val="0"/>
                <w:sz w:val="18"/>
              </w:rPr>
              <w:t>EfficientNet-B3</w:t>
            </w:r>
          </w:p>
        </w:tc>
        <w:tc>
          <w:tcPr>
            <w:tcW w:type="dxa" w:w="1451"/>
          </w:tcPr>
          <w:p>
            <w:pPr>
              <w:jc w:val="center"/>
            </w:pPr>
            <w:r>
              <w:rPr>
                <w:rFonts w:ascii="Times New Roman" w:hAnsi="Times New Roman" w:cs="Times New Roman"/>
                <w:rFonts w:ascii="Times New Roman" w:hAnsi="Times New Roman"/>
                <w:b w:val="0"/>
                <w:i w:val="0"/>
                <w:sz w:val="18"/>
              </w:rPr>
              <w:t>85.58</w:t>
            </w:r>
          </w:p>
        </w:tc>
        <w:tc>
          <w:tcPr>
            <w:tcW w:type="dxa" w:w="1451"/>
          </w:tcPr>
          <w:p>
            <w:pPr>
              <w:jc w:val="center"/>
            </w:pPr>
            <w:r>
              <w:rPr>
                <w:rFonts w:ascii="Times New Roman" w:hAnsi="Times New Roman" w:cs="Times New Roman"/>
                <w:rFonts w:ascii="Times New Roman" w:hAnsi="Times New Roman"/>
                <w:b w:val="0"/>
                <w:i w:val="0"/>
                <w:sz w:val="18"/>
              </w:rPr>
              <w:t>73.49</w:t>
            </w:r>
          </w:p>
        </w:tc>
        <w:tc>
          <w:tcPr>
            <w:tcW w:type="dxa" w:w="1451"/>
          </w:tcPr>
          <w:p>
            <w:pPr>
              <w:jc w:val="center"/>
            </w:pPr>
            <w:r>
              <w:rPr>
                <w:rFonts w:ascii="Times New Roman" w:hAnsi="Times New Roman" w:cs="Times New Roman"/>
                <w:rFonts w:ascii="Times New Roman" w:hAnsi="Times New Roman"/>
                <w:b w:val="0"/>
                <w:i w:val="0"/>
                <w:sz w:val="18"/>
              </w:rPr>
              <w:t>88.89</w:t>
            </w:r>
          </w:p>
        </w:tc>
        <w:tc>
          <w:tcPr>
            <w:tcW w:type="dxa" w:w="1451"/>
          </w:tcPr>
          <w:p>
            <w:pPr>
              <w:jc w:val="center"/>
            </w:pPr>
            <w:r>
              <w:rPr>
                <w:rFonts w:ascii="Times New Roman" w:hAnsi="Times New Roman" w:cs="Times New Roman"/>
                <w:rFonts w:ascii="Times New Roman" w:hAnsi="Times New Roman"/>
                <w:b w:val="0"/>
                <w:i w:val="0"/>
                <w:sz w:val="18"/>
              </w:rPr>
              <w:t>94.41</w:t>
            </w:r>
          </w:p>
        </w:tc>
        <w:tc>
          <w:tcPr>
            <w:tcW w:type="dxa" w:w="1451"/>
          </w:tcPr>
          <w:p>
            <w:pPr>
              <w:jc w:val="center"/>
            </w:pPr>
            <w:r>
              <w:rPr>
                <w:rFonts w:ascii="Times New Roman" w:hAnsi="Times New Roman" w:cs="Times New Roman"/>
                <w:rFonts w:ascii="Times New Roman" w:hAnsi="Times New Roman"/>
                <w:b w:val="0"/>
                <w:i w:val="0"/>
                <w:sz w:val="18"/>
              </w:rPr>
              <w:t>97.81</w:t>
            </w:r>
          </w:p>
        </w:tc>
        <w:tc>
          <w:tcPr>
            <w:tcW w:type="dxa" w:w="1451"/>
          </w:tcPr>
          <w:p>
            <w:pPr>
              <w:jc w:val="center"/>
            </w:pPr>
            <w:r>
              <w:rPr>
                <w:rFonts w:ascii="Times New Roman" w:hAnsi="Times New Roman" w:cs="Times New Roman"/>
                <w:rFonts w:ascii="Times New Roman" w:hAnsi="Times New Roman"/>
                <w:b w:val="0"/>
                <w:i w:val="0"/>
                <w:sz w:val="18"/>
              </w:rPr>
              <w:t>88.04</w:t>
            </w:r>
          </w:p>
        </w:tc>
      </w:tr>
      <w:tr>
        <w:tc>
          <w:tcPr>
            <w:tcW w:type="dxa" w:w="1451"/>
          </w:tcPr>
          <w:p>
            <w:pPr>
              <w:jc w:val="center"/>
            </w:pPr>
            <w:r>
              <w:rPr>
                <w:rFonts w:ascii="Times New Roman" w:hAnsi="Times New Roman" w:cs="Times New Roman"/>
                <w:rFonts w:ascii="Times New Roman" w:hAnsi="Times New Roman"/>
                <w:b w:val="0"/>
                <w:i w:val="0"/>
                <w:sz w:val="18"/>
              </w:rPr>
              <w:t>ViT-B/16-224</w:t>
            </w:r>
          </w:p>
        </w:tc>
        <w:tc>
          <w:tcPr>
            <w:tcW w:type="dxa" w:w="1451"/>
          </w:tcPr>
          <w:p>
            <w:pPr>
              <w:jc w:val="center"/>
            </w:pPr>
            <w:r>
              <w:rPr>
                <w:rFonts w:ascii="Times New Roman" w:hAnsi="Times New Roman" w:cs="Times New Roman"/>
                <w:rFonts w:ascii="Times New Roman" w:hAnsi="Times New Roman"/>
                <w:b w:val="0"/>
                <w:i w:val="0"/>
                <w:sz w:val="18"/>
              </w:rPr>
              <w:t>85.03</w:t>
            </w:r>
          </w:p>
        </w:tc>
        <w:tc>
          <w:tcPr>
            <w:tcW w:type="dxa" w:w="1451"/>
          </w:tcPr>
          <w:p>
            <w:pPr>
              <w:jc w:val="center"/>
            </w:pPr>
            <w:r>
              <w:rPr>
                <w:rFonts w:ascii="Times New Roman" w:hAnsi="Times New Roman" w:cs="Times New Roman"/>
                <w:rFonts w:ascii="Times New Roman" w:hAnsi="Times New Roman"/>
                <w:b w:val="0"/>
                <w:i w:val="0"/>
                <w:sz w:val="18"/>
              </w:rPr>
              <w:t>75.60</w:t>
            </w:r>
          </w:p>
        </w:tc>
        <w:tc>
          <w:tcPr>
            <w:tcW w:type="dxa" w:w="1451"/>
          </w:tcPr>
          <w:p>
            <w:pPr>
              <w:jc w:val="center"/>
            </w:pPr>
            <w:r>
              <w:rPr>
                <w:rFonts w:ascii="Times New Roman" w:hAnsi="Times New Roman" w:cs="Times New Roman"/>
                <w:rFonts w:ascii="Times New Roman" w:hAnsi="Times New Roman"/>
                <w:b w:val="0"/>
                <w:i w:val="0"/>
                <w:sz w:val="18"/>
              </w:rPr>
              <w:t>91.12</w:t>
            </w:r>
          </w:p>
        </w:tc>
        <w:tc>
          <w:tcPr>
            <w:tcW w:type="dxa" w:w="1451"/>
          </w:tcPr>
          <w:p>
            <w:pPr>
              <w:jc w:val="center"/>
            </w:pPr>
            <w:r>
              <w:rPr>
                <w:rFonts w:ascii="Times New Roman" w:hAnsi="Times New Roman" w:cs="Times New Roman"/>
                <w:rFonts w:ascii="Times New Roman" w:hAnsi="Times New Roman"/>
                <w:b w:val="0"/>
                <w:i w:val="0"/>
                <w:sz w:val="18"/>
              </w:rPr>
              <w:t>95.65</w:t>
            </w:r>
          </w:p>
        </w:tc>
        <w:tc>
          <w:tcPr>
            <w:tcW w:type="dxa" w:w="1451"/>
          </w:tcPr>
          <w:p>
            <w:pPr>
              <w:jc w:val="center"/>
            </w:pPr>
            <w:r>
              <w:rPr>
                <w:rFonts w:ascii="Times New Roman" w:hAnsi="Times New Roman" w:cs="Times New Roman"/>
                <w:rFonts w:ascii="Times New Roman" w:hAnsi="Times New Roman"/>
                <w:b w:val="0"/>
                <w:i w:val="0"/>
                <w:sz w:val="18"/>
              </w:rPr>
              <w:t>94.96</w:t>
            </w:r>
          </w:p>
        </w:tc>
        <w:tc>
          <w:tcPr>
            <w:tcW w:type="dxa" w:w="1451"/>
          </w:tcPr>
          <w:p>
            <w:pPr>
              <w:jc w:val="center"/>
            </w:pPr>
            <w:r>
              <w:rPr>
                <w:rFonts w:ascii="Times New Roman" w:hAnsi="Times New Roman" w:cs="Times New Roman"/>
                <w:rFonts w:ascii="Times New Roman" w:hAnsi="Times New Roman"/>
                <w:b w:val="0"/>
                <w:i w:val="0"/>
                <w:sz w:val="18"/>
              </w:rPr>
              <w:t>88.47</w:t>
            </w:r>
          </w:p>
        </w:tc>
      </w:tr>
      <w:tr>
        <w:tc>
          <w:tcPr>
            <w:tcW w:type="dxa" w:w="1451"/>
          </w:tcPr>
          <w:p>
            <w:pPr>
              <w:jc w:val="center"/>
            </w:pPr>
            <w:r>
              <w:rPr>
                <w:rFonts w:ascii="Times New Roman" w:hAnsi="Times New Roman" w:cs="Times New Roman"/>
                <w:rFonts w:ascii="Times New Roman" w:hAnsi="Times New Roman"/>
                <w:b w:val="0"/>
                <w:i w:val="0"/>
                <w:sz w:val="18"/>
              </w:rPr>
              <w:t>ViT-B/16-384</w:t>
            </w:r>
          </w:p>
        </w:tc>
        <w:tc>
          <w:tcPr>
            <w:tcW w:type="dxa" w:w="1451"/>
          </w:tcPr>
          <w:p>
            <w:pPr>
              <w:jc w:val="center"/>
            </w:pPr>
            <w:r>
              <w:rPr>
                <w:rFonts w:ascii="Times New Roman" w:hAnsi="Times New Roman" w:cs="Times New Roman"/>
                <w:rFonts w:ascii="Times New Roman" w:hAnsi="Times New Roman"/>
                <w:b w:val="0"/>
                <w:i w:val="0"/>
                <w:sz w:val="18"/>
              </w:rPr>
              <w:t>90.40</w:t>
            </w:r>
          </w:p>
        </w:tc>
        <w:tc>
          <w:tcPr>
            <w:tcW w:type="dxa" w:w="1451"/>
          </w:tcPr>
          <w:p>
            <w:pPr>
              <w:jc w:val="center"/>
            </w:pPr>
            <w:r>
              <w:rPr>
                <w:rFonts w:ascii="Times New Roman" w:hAnsi="Times New Roman" w:cs="Times New Roman"/>
                <w:rFonts w:ascii="Times New Roman" w:hAnsi="Times New Roman"/>
                <w:b w:val="0"/>
                <w:i w:val="0"/>
                <w:sz w:val="18"/>
              </w:rPr>
              <w:t>82.80</w:t>
            </w:r>
          </w:p>
        </w:tc>
        <w:tc>
          <w:tcPr>
            <w:tcW w:type="dxa" w:w="1451"/>
          </w:tcPr>
          <w:p>
            <w:pPr>
              <w:jc w:val="center"/>
            </w:pPr>
            <w:r>
              <w:rPr>
                <w:rFonts w:ascii="Times New Roman" w:hAnsi="Times New Roman" w:cs="Times New Roman"/>
                <w:rFonts w:ascii="Times New Roman" w:hAnsi="Times New Roman"/>
                <w:b w:val="0"/>
                <w:i w:val="0"/>
                <w:sz w:val="18"/>
              </w:rPr>
              <w:t>92.77</w:t>
            </w:r>
          </w:p>
        </w:tc>
        <w:tc>
          <w:tcPr>
            <w:tcW w:type="dxa" w:w="1451"/>
          </w:tcPr>
          <w:p>
            <w:pPr>
              <w:jc w:val="center"/>
            </w:pPr>
            <w:r>
              <w:rPr>
                <w:rFonts w:ascii="Times New Roman" w:hAnsi="Times New Roman" w:cs="Times New Roman"/>
                <w:rFonts w:ascii="Times New Roman" w:hAnsi="Times New Roman"/>
                <w:b w:val="0"/>
                <w:i w:val="0"/>
                <w:sz w:val="18"/>
              </w:rPr>
              <w:t>96.25</w:t>
            </w:r>
          </w:p>
        </w:tc>
        <w:tc>
          <w:tcPr>
            <w:tcW w:type="dxa" w:w="1451"/>
          </w:tcPr>
          <w:p>
            <w:pPr>
              <w:jc w:val="center"/>
            </w:pPr>
            <w:r>
              <w:rPr>
                <w:rFonts w:ascii="Times New Roman" w:hAnsi="Times New Roman" w:cs="Times New Roman"/>
                <w:rFonts w:ascii="Times New Roman" w:hAnsi="Times New Roman"/>
                <w:b w:val="0"/>
                <w:i w:val="0"/>
                <w:sz w:val="18"/>
              </w:rPr>
              <w:t>97.18</w:t>
            </w:r>
          </w:p>
        </w:tc>
        <w:tc>
          <w:tcPr>
            <w:tcW w:type="dxa" w:w="1451"/>
          </w:tcPr>
          <w:p>
            <w:pPr>
              <w:jc w:val="center"/>
            </w:pPr>
            <w:r>
              <w:rPr>
                <w:rFonts w:ascii="Times New Roman" w:hAnsi="Times New Roman" w:cs="Times New Roman"/>
                <w:rFonts w:ascii="Times New Roman" w:hAnsi="Times New Roman"/>
                <w:b w:val="0"/>
                <w:i w:val="0"/>
                <w:sz w:val="18"/>
              </w:rPr>
              <w:t>91.88</w:t>
            </w:r>
          </w:p>
        </w:tc>
      </w:tr>
      <w:tr>
        <w:tc>
          <w:tcPr>
            <w:tcW w:type="dxa" w:w="1451"/>
          </w:tcPr>
          <w:p>
            <w:pPr>
              <w:jc w:val="center"/>
            </w:pPr>
            <w:r>
              <w:rPr>
                <w:rFonts w:ascii="Times New Roman" w:hAnsi="Times New Roman" w:cs="Times New Roman"/>
                <w:rFonts w:ascii="Times New Roman" w:hAnsi="Times New Roman"/>
                <w:b w:val="0"/>
                <w:i w:val="0"/>
                <w:sz w:val="18"/>
              </w:rPr>
              <w:t>Swin-Tiny</w:t>
            </w:r>
          </w:p>
        </w:tc>
        <w:tc>
          <w:tcPr>
            <w:tcW w:type="dxa" w:w="1451"/>
          </w:tcPr>
          <w:p>
            <w:pPr>
              <w:jc w:val="center"/>
            </w:pPr>
            <w:r>
              <w:rPr>
                <w:rFonts w:ascii="Times New Roman" w:hAnsi="Times New Roman" w:cs="Times New Roman"/>
                <w:rFonts w:ascii="Times New Roman" w:hAnsi="Times New Roman"/>
                <w:b w:val="0"/>
                <w:i w:val="0"/>
                <w:sz w:val="18"/>
              </w:rPr>
              <w:t>91.82</w:t>
            </w:r>
          </w:p>
        </w:tc>
        <w:tc>
          <w:tcPr>
            <w:tcW w:type="dxa" w:w="1451"/>
          </w:tcPr>
          <w:p>
            <w:pPr>
              <w:jc w:val="center"/>
            </w:pPr>
            <w:r>
              <w:rPr>
                <w:rFonts w:ascii="Times New Roman" w:hAnsi="Times New Roman" w:cs="Times New Roman"/>
                <w:rFonts w:ascii="Times New Roman" w:hAnsi="Times New Roman"/>
                <w:b w:val="0"/>
                <w:i w:val="0"/>
                <w:sz w:val="18"/>
              </w:rPr>
              <w:t>85.22</w:t>
            </w:r>
          </w:p>
        </w:tc>
        <w:tc>
          <w:tcPr>
            <w:tcW w:type="dxa" w:w="1451"/>
          </w:tcPr>
          <w:p>
            <w:pPr>
              <w:jc w:val="center"/>
            </w:pPr>
            <w:r>
              <w:rPr>
                <w:rFonts w:ascii="Times New Roman" w:hAnsi="Times New Roman" w:cs="Times New Roman"/>
                <w:rFonts w:ascii="Times New Roman" w:hAnsi="Times New Roman"/>
                <w:b w:val="0"/>
                <w:i w:val="0"/>
                <w:sz w:val="18"/>
              </w:rPr>
              <w:t>93.75</w:t>
            </w:r>
          </w:p>
        </w:tc>
        <w:tc>
          <w:tcPr>
            <w:tcW w:type="dxa" w:w="1451"/>
          </w:tcPr>
          <w:p>
            <w:pPr>
              <w:jc w:val="center"/>
            </w:pPr>
            <w:r>
              <w:rPr>
                <w:rFonts w:ascii="Times New Roman" w:hAnsi="Times New Roman" w:cs="Times New Roman"/>
                <w:rFonts w:ascii="Times New Roman" w:hAnsi="Times New Roman"/>
                <w:b w:val="0"/>
                <w:i w:val="0"/>
                <w:sz w:val="18"/>
              </w:rPr>
              <w:t>96.86</w:t>
            </w:r>
          </w:p>
        </w:tc>
        <w:tc>
          <w:tcPr>
            <w:tcW w:type="dxa" w:w="1451"/>
          </w:tcPr>
          <w:p>
            <w:pPr>
              <w:jc w:val="center"/>
            </w:pPr>
            <w:r>
              <w:rPr>
                <w:rFonts w:ascii="Times New Roman" w:hAnsi="Times New Roman" w:cs="Times New Roman"/>
                <w:rFonts w:ascii="Times New Roman" w:hAnsi="Times New Roman"/>
                <w:b w:val="0"/>
                <w:i w:val="0"/>
                <w:sz w:val="18"/>
              </w:rPr>
              <w:t>95.65</w:t>
            </w:r>
          </w:p>
        </w:tc>
        <w:tc>
          <w:tcPr>
            <w:tcW w:type="dxa" w:w="1451"/>
          </w:tcPr>
          <w:p>
            <w:pPr>
              <w:jc w:val="center"/>
            </w:pPr>
            <w:r>
              <w:rPr>
                <w:rFonts w:ascii="Times New Roman" w:hAnsi="Times New Roman" w:cs="Times New Roman"/>
                <w:rFonts w:ascii="Times New Roman" w:hAnsi="Times New Roman"/>
                <w:b w:val="0"/>
                <w:i w:val="0"/>
                <w:sz w:val="18"/>
              </w:rPr>
              <w:t>92.66</w:t>
            </w:r>
          </w:p>
        </w:tc>
      </w:tr>
      <w:tr>
        <w:tc>
          <w:tcPr>
            <w:tcW w:type="dxa" w:w="1451"/>
          </w:tcPr>
          <w:p>
            <w:pPr>
              <w:jc w:val="center"/>
            </w:pPr>
            <w:r>
              <w:rPr>
                <w:rFonts w:ascii="Times New Roman" w:hAnsi="Times New Roman" w:cs="Times New Roman"/>
                <w:rFonts w:ascii="Times New Roman" w:hAnsi="Times New Roman"/>
                <w:b w:val="0"/>
                <w:i w:val="0"/>
                <w:sz w:val="18"/>
              </w:rPr>
              <w:t>S2 ACMF (ours)</w:t>
            </w:r>
          </w:p>
        </w:tc>
        <w:tc>
          <w:tcPr>
            <w:tcW w:type="dxa" w:w="1451"/>
          </w:tcPr>
          <w:p>
            <w:pPr>
              <w:jc w:val="center"/>
            </w:pPr>
            <w:r>
              <w:rPr>
                <w:rFonts w:ascii="Times New Roman" w:hAnsi="Times New Roman" w:cs="Times New Roman"/>
                <w:rFonts w:ascii="Times New Roman" w:hAnsi="Times New Roman"/>
                <w:b w:val="0"/>
                <w:i w:val="0"/>
                <w:sz w:val="18"/>
              </w:rPr>
              <w:t>90.06</w:t>
            </w:r>
          </w:p>
        </w:tc>
        <w:tc>
          <w:tcPr>
            <w:tcW w:type="dxa" w:w="1451"/>
          </w:tcPr>
          <w:p>
            <w:pPr>
              <w:jc w:val="center"/>
            </w:pPr>
            <w:r>
              <w:rPr>
                <w:rFonts w:ascii="Times New Roman" w:hAnsi="Times New Roman" w:cs="Times New Roman"/>
                <w:rFonts w:ascii="Times New Roman" w:hAnsi="Times New Roman"/>
                <w:b w:val="0"/>
                <w:i w:val="0"/>
                <w:sz w:val="18"/>
              </w:rPr>
              <w:t>82.43</w:t>
            </w:r>
          </w:p>
        </w:tc>
        <w:tc>
          <w:tcPr>
            <w:tcW w:type="dxa" w:w="1451"/>
          </w:tcPr>
          <w:p>
            <w:pPr>
              <w:jc w:val="center"/>
            </w:pPr>
            <w:r>
              <w:rPr>
                <w:rFonts w:ascii="Times New Roman" w:hAnsi="Times New Roman" w:cs="Times New Roman"/>
                <w:rFonts w:ascii="Times New Roman" w:hAnsi="Times New Roman"/>
                <w:b w:val="0"/>
                <w:i w:val="0"/>
                <w:sz w:val="18"/>
              </w:rPr>
              <w:t>93.41</w:t>
            </w:r>
          </w:p>
        </w:tc>
        <w:tc>
          <w:tcPr>
            <w:tcW w:type="dxa" w:w="1451"/>
          </w:tcPr>
          <w:p>
            <w:pPr>
              <w:jc w:val="center"/>
            </w:pPr>
            <w:r>
              <w:rPr>
                <w:rFonts w:ascii="Times New Roman" w:hAnsi="Times New Roman" w:cs="Times New Roman"/>
                <w:rFonts w:ascii="Times New Roman" w:hAnsi="Times New Roman"/>
                <w:b w:val="0"/>
                <w:i w:val="0"/>
                <w:sz w:val="18"/>
              </w:rPr>
              <w:t>95.06</w:t>
            </w:r>
          </w:p>
        </w:tc>
        <w:tc>
          <w:tcPr>
            <w:tcW w:type="dxa" w:w="1451"/>
          </w:tcPr>
          <w:p>
            <w:pPr>
              <w:jc w:val="center"/>
            </w:pPr>
            <w:r>
              <w:rPr>
                <w:rFonts w:ascii="Times New Roman" w:hAnsi="Times New Roman" w:cs="Times New Roman"/>
                <w:rFonts w:ascii="Times New Roman" w:hAnsi="Times New Roman"/>
                <w:b w:val="0"/>
                <w:i w:val="0"/>
                <w:sz w:val="18"/>
              </w:rPr>
              <w:t>97.18</w:t>
            </w:r>
          </w:p>
        </w:tc>
        <w:tc>
          <w:tcPr>
            <w:tcW w:type="dxa" w:w="1451"/>
          </w:tcPr>
          <w:p>
            <w:pPr>
              <w:jc w:val="center"/>
            </w:pPr>
            <w:r>
              <w:rPr>
                <w:rFonts w:ascii="Times New Roman" w:hAnsi="Times New Roman" w:cs="Times New Roman"/>
                <w:rFonts w:ascii="Times New Roman" w:hAnsi="Times New Roman"/>
                <w:b/>
                <w:i w:val="0"/>
                <w:sz w:val="18"/>
              </w:rPr>
              <w:t>91.63</w:t>
            </w:r>
          </w:p>
        </w:tc>
      </w:tr>
    </w:tbl>
    <w:p>
      <w:pPr>
        <w:jc w:val="both"/>
        <w:spacing w:before="0" w:after="40"/>
        <w:ind w:firstLine="360"/>
      </w:pPr>
      <w:r>
        <w:rPr>
          <w:rFonts w:ascii="Times New Roman" w:hAnsi="Times New Roman" w:cs="Times New Roman"/>
          <w:rFonts w:ascii="Times New Roman" w:hAnsi="Times New Roman"/>
          <w:b w:val="0"/>
          <w:i w:val="0"/>
          <w:sz w:val="20"/>
        </w:rPr>
        <w:t>Notably, the S2 fusion achieves 93.41% on H3 (T. rubrum), higher than each separate encoder at 92.77% and With a score of 91.12%, this instance stands out as a notably clear case of merging elements offering real improvement compared to each part alone. Regarding H2, S2 achieves 82.43%, a touch lower than ViT-384 when tested alone Despite outperforming ViT-224 by a notable margin, the overall impact of merging remains evident Good results came through for this group.</w:t>
      </w:r>
    </w:p>
    <w:p>
      <w:pPr>
        <w:jc w:val="left"/>
        <w:spacing w:before="60" w:after="20"/>
      </w:pPr>
      <w:r>
        <w:rPr>
          <w:rFonts w:ascii="Times New Roman" w:hAnsi="Times New Roman" w:cs="Times New Roman"/>
          <w:rFonts w:ascii="Times New Roman" w:hAnsi="Times New Roman"/>
          <w:b w:val="0"/>
          <w:i/>
          <w:sz w:val="20"/>
        </w:rPr>
        <w:t>D. Explainability Results</w:t>
      </w:r>
    </w:p>
    <w:p>
      <w:pPr>
        <w:jc w:val="both"/>
        <w:spacing w:before="0" w:after="40"/>
        <w:ind w:firstLine="360"/>
      </w:pPr>
      <w:r>
        <w:rPr>
          <w:rFonts w:ascii="Times New Roman" w:hAnsi="Times New Roman" w:cs="Times New Roman"/>
          <w:rFonts w:ascii="Times New Roman" w:hAnsi="Times New Roman"/>
          <w:b w:val="0"/>
          <w:i w:val="0"/>
          <w:sz w:val="20"/>
        </w:rPr>
        <w:t>Looking at attention rollout maps on the test set shows where correct Predictions link to where attention settles in space Living systems often involve patterns that matter. When studying H1 samples, focus shifts here Focus shifts to sequences of yeast cells forming buds; regarding H2 and also H3, On hyphal surfaces and at junctions where strands split, light settles; here, H5 meets H6 Focus shifts toward the pointed ends of macroconidia along with club-shaped terminal cells For H6, a notable point emerges about correct outcomes in order Among classified samples, rollout mapping typically gives almost negligible weight Background hyphae gain emphasis here, shifting attention nearly entirely away from other elements At the tip, where it thickens slightly — that particular shape defines the form A mycologist might search for marker a during their examination.</w:t>
      </w:r>
    </w:p>
    <w:p>
      <w:pPr>
        <w:jc w:val="both"/>
        <w:spacing w:before="0" w:after="40"/>
        <w:ind w:firstLine="360"/>
      </w:pPr>
      <w:r>
        <w:rPr>
          <w:rFonts w:ascii="Times New Roman" w:hAnsi="Times New Roman" w:cs="Times New Roman"/>
          <w:rFonts w:ascii="Times New Roman" w:hAnsi="Times New Roman"/>
          <w:b w:val="0"/>
          <w:i w:val="0"/>
          <w:sz w:val="20"/>
        </w:rPr>
        <w:t>Looking at wrong labels reveals something else entirely. Where the focus actually lands becomes clear only through these errors Most maps showing wrongly labeled H2 samples appear nearly identical across the board Across the picture, details blur into one another. Blended throughout, features lose clear borders. Without distinct form, patterns drift apart. Scattered widely, elements avoid fixed positions. Flowing freely, shapes mix in quiet chaos. Every part shares a soft, even presence True. Perhaps these samples really do not have the Features of shape and structure noticed by the system — maybe also a person Someone skilled might turn to this instead. In real situations, it may help when applied carefully Some cases show strong softmax signals alongside scattered spatial patterns attention may warrant flagging for expert review even when The model shows clear confidence, given its suggestion of a specific choice fails to rely on the typical distinguishing characteristics.</w:t>
      </w:r>
    </w:p>
    <w:p>
      <w:pPr>
        <w:jc w:val="center"/>
        <w:spacing w:before="100" w:after="40"/>
      </w:pPr>
      <w:r>
        <w:rPr>
          <w:rFonts w:ascii="Times New Roman" w:hAnsi="Times New Roman" w:cs="Times New Roman"/>
          <w:rFonts w:ascii="Times New Roman" w:hAnsi="Times New Roman"/>
          <w:b w:val="0"/>
          <w:i w:val="0"/>
          <w:sz w:val="20"/>
        </w:rPr>
        <w:t>VI. DISCUSSION</w:t>
      </w:r>
    </w:p>
    <w:p>
      <w:pPr>
        <w:jc w:val="both"/>
        <w:spacing w:before="0" w:after="40"/>
        <w:ind w:firstLine="360"/>
      </w:pPr>
      <w:r>
        <w:rPr>
          <w:rFonts w:ascii="Times New Roman" w:hAnsi="Times New Roman" w:cs="Times New Roman"/>
          <w:rFonts w:ascii="Times New Roman" w:hAnsi="Times New Roman"/>
          <w:b w:val="0"/>
          <w:i w:val="0"/>
          <w:sz w:val="20"/>
        </w:rPr>
        <w:t>The result that stands out most is Swin-Tiny outperforming all four ACMF strategies despite using a single model and A single run through the model. Performance reaches 92.66% on F1 macro, slightly above the prior 91.63% Though small, the edge exists for optimal integration methods Across every measure used to assess performance, results remained stable. Our view is that the explanation Architecture shapes the nation: Swin’s method uses layered window attention A structure forms inside, creating a layered system across different sizes At the same time, ACMF handles it through execution One encoder operates at a set resolution; the other does likewise before integration occurs. Their outputs merge through alignment mechanisms rather than simple addition Results appear as likelihood values. How the system stores information inside contains more information than what emerges through after-the-fact likelihood analysis weighting.</w:t>
      </w:r>
    </w:p>
    <w:p>
      <w:pPr>
        <w:jc w:val="both"/>
        <w:spacing w:before="0" w:after="40"/>
        <w:ind w:firstLine="360"/>
      </w:pPr>
      <w:r>
        <w:rPr>
          <w:rFonts w:ascii="Times New Roman" w:hAnsi="Times New Roman" w:cs="Times New Roman"/>
          <w:rFonts w:ascii="Times New Roman" w:hAnsi="Times New Roman"/>
          <w:b w:val="0"/>
          <w:i w:val="0"/>
          <w:sz w:val="20"/>
        </w:rPr>
        <w:t>Still, it might be wise to avoid interpreting this as proof It turns out ACMF lacks practical value. Although built with intent, the structure fails under real conditions because it does not adapt well. Its original purpose becomes unclear once applied outside theory. Problems emerge quickly when tested in live scenarios where flexibility matters most Working across multiple resolutions helps performance compared to using just one resolution, especially beyond a basic ViT setup where only a fixed scale is applied Where advanced design exists but remains unused, or proves impractical, Clearly, it operates without ambiguity. In a given setting, consistency remains evident Demands for ViT emerge — maybe due to established systems, Access to pretrained models, alongside how clearly they explain their decisions Attention Rollout’s method — combining dual resolutions through fusion — is one approach A shift that works within existing structures. Still, it brings progress without demanding redesign.</w:t>
      </w:r>
    </w:p>
    <w:p>
      <w:pPr>
        <w:jc w:val="both"/>
        <w:spacing w:before="0" w:after="40"/>
        <w:ind w:firstLine="360"/>
      </w:pPr>
      <w:r>
        <w:rPr>
          <w:rFonts w:ascii="Times New Roman" w:hAnsi="Times New Roman" w:cs="Times New Roman"/>
          <w:rFonts w:ascii="Times New Roman" w:hAnsi="Times New Roman"/>
          <w:b w:val="0"/>
          <w:i w:val="0"/>
          <w:sz w:val="20"/>
        </w:rPr>
        <w:t>The comparison among S1 S2 S3 and S4 reveals patterns A helpful tale describing the sort of blending needed for this job. What follows is similar performance among three heuristic approaches indicates their comparable effectiveness Most of the time, handling the task doesn’t require detailed adjustments for each individual image This amount of data. When S4 falls short, it echoes a pattern seen before lesson: learned ensemble weighting is more data-hungry than A single model alone might seem too simplistic. Yet five thousand pictures during learning still fall short So that the MLP can extend past the trained encoders, calibration patterns</w:t>
      </w:r>
    </w:p>
    <w:p>
      <w:pPr>
        <w:jc w:val="center"/>
        <w:spacing w:before="100" w:after="40"/>
      </w:pPr>
      <w:r>
        <w:rPr>
          <w:rFonts w:ascii="Times New Roman" w:hAnsi="Times New Roman" w:cs="Times New Roman"/>
          <w:rFonts w:ascii="Times New Roman" w:hAnsi="Times New Roman"/>
          <w:b w:val="0"/>
          <w:i w:val="0"/>
          <w:sz w:val="20"/>
        </w:rPr>
        <w:t>VII. CONCLUSION</w:t>
      </w:r>
    </w:p>
    <w:p>
      <w:pPr>
        <w:jc w:val="both"/>
        <w:spacing w:before="0" w:after="40"/>
        <w:ind w:firstLine="360"/>
      </w:pPr>
      <w:r>
        <w:rPr>
          <w:rFonts w:ascii="Times New Roman" w:hAnsi="Times New Roman" w:cs="Times New Roman"/>
          <w:rFonts w:ascii="Times New Roman" w:hAnsi="Times New Roman"/>
          <w:b w:val="0"/>
          <w:i w:val="0"/>
          <w:sz w:val="20"/>
        </w:rPr>
        <w:t>The ACMF framework was presented, followed by an assessment of four strategies for combining ViT-B/16 predictions at two input resolutions on the DeFungi microscopic fungal classification On average, the method that balances precision and correctness (S2) reaches F1 macro stands at 91.63%, rising by 3.16 points compared to ViT-224 Just one, sitting at a mere quarter-point beneath the ViT-384 that runs twelve times slower Approach. The method using entropy guidance (S3) achieves similar performance Achieving performance levels alongside generating confidence indicators for each image which indicate to an operator the resolution selected by the model One sample at a time, the process moves forward. Across the evaluation group, rollout patterns appear clearly Checking whether the model’s forecasts tie back to identical foundations Features of shape and form studied by someone who researches fungi, What counts toward trust in medical settings.</w:t>
      </w:r>
    </w:p>
    <w:p>
      <w:pPr>
        <w:jc w:val="both"/>
        <w:spacing w:before="0" w:after="40"/>
        <w:ind w:firstLine="360"/>
      </w:pPr>
      <w:r>
        <w:rPr>
          <w:rFonts w:ascii="Times New Roman" w:hAnsi="Times New Roman" w:cs="Times New Roman"/>
          <w:rFonts w:ascii="Times New Roman" w:hAnsi="Times New Roman"/>
          <w:b w:val="0"/>
          <w:i w:val="0"/>
          <w:sz w:val="20"/>
        </w:rPr>
        <w:t>It is clear that constraints exist. One must consider the impact of operating dual encoders inference speed drops by about half when compared to one model alone Offline or batch settings become the main scenarios, given how limitations shape real-world application Yet performance dips slightly below Swin-Tiny despite minimal computational cost Internally managing several scales adjusts the number of parameters involved. Because of limited data, the trained S4 head faces restrictions in its performance Heuristic methods function differently compared to these approaches.</w:t>
      </w:r>
    </w:p>
    <w:p>
      <w:pPr>
        <w:jc w:val="both"/>
        <w:spacing w:before="0" w:after="40"/>
        <w:ind w:firstLine="360"/>
      </w:pPr>
      <w:r>
        <w:rPr>
          <w:rFonts w:ascii="Times New Roman" w:hAnsi="Times New Roman" w:cs="Times New Roman"/>
          <w:rFonts w:ascii="Times New Roman" w:hAnsi="Times New Roman"/>
          <w:b w:val="0"/>
          <w:i w:val="0"/>
          <w:sz w:val="20"/>
        </w:rPr>
        <w:t>Future possibilities appear most compelling when combining Swin-based encoder with a ViT encoder rather than two ViTs Because of varied building styles, resilience might improve overall What matters most is how pieces fit together, not just clarity gaps. Insight distillation from the dual-encoder pipeline into a lightweight A lone framework might still hold value, since it may uncover gains in performance come without added delay. Lastly, the Even when models grow smarter, data size still holds things back — using unlabeled examples helps ease the load pretraining on unlabelled clinical microscopy data could ex- Yet still expanding the useful examples for learning, though no extra data gets added expert annotation.</w:t>
      </w:r>
    </w:p>
    <w:p>
      <w:pPr>
        <w:jc w:val="center"/>
        <w:spacing w:before="80" w:after="40"/>
      </w:pPr>
      <w:r>
        <w:rPr>
          <w:rFonts w:ascii="Times New Roman" w:hAnsi="Times New Roman" w:cs="Times New Roman"/>
          <w:rFonts w:ascii="Times New Roman" w:hAnsi="Times New Roman"/>
          <w:b w:val="0"/>
          <w:i w:val="0"/>
          <w:sz w:val="20"/>
        </w:rPr>
        <w:t>ACKNOWLEDGMENT</w:t>
      </w:r>
    </w:p>
    <w:p>
      <w:pPr>
        <w:jc w:val="both"/>
        <w:spacing w:before="0" w:after="40"/>
      </w:pPr>
      <w:r>
        <w:rPr>
          <w:rFonts w:ascii="Times New Roman" w:hAnsi="Times New Roman" w:cs="Times New Roman"/>
          <w:rFonts w:ascii="Times New Roman" w:hAnsi="Times New Roman"/>
          <w:b w:val="0"/>
          <w:i w:val="0"/>
          <w:sz w:val="20"/>
        </w:rPr>
        <w:t>The Authors Thank The Department Of Computer Science And Engineering at Karunya Institute of Technology and Sciences Computational tools were made available through support from. [Include acknowledgment of financial backing if applicable.]</w:t>
      </w:r>
    </w:p>
    <w:p>
      <w:pPr>
        <w:jc w:val="center"/>
        <w:spacing w:before="80" w:after="40"/>
      </w:pPr>
      <w:r>
        <w:rPr>
          <w:rFonts w:ascii="Times New Roman" w:hAnsi="Times New Roman" w:cs="Times New Roman"/>
          <w:rFonts w:ascii="Times New Roman" w:hAnsi="Times New Roman"/>
          <w:b w:val="0"/>
          <w:i w:val="0"/>
          <w:sz w:val="20"/>
        </w:rPr>
        <w:t>REFERENCES</w:t>
      </w:r>
    </w:p>
    <w:p>
      <w:pPr>
        <w:jc w:val="both"/>
        <w:spacing w:before="0" w:after="20"/>
        <w:ind w:left="360" w:hanging="360"/>
      </w:pPr>
      <w:r>
        <w:rPr>
          <w:rFonts w:ascii="Times New Roman" w:hAnsi="Times New Roman" w:cs="Times New Roman"/>
          <w:rFonts w:ascii="Times New Roman" w:hAnsi="Times New Roman"/>
          <w:b w:val="0"/>
          <w:i w:val="0"/>
          <w:sz w:val="18"/>
        </w:rPr>
        <w:t>[1] K. Kainz, M. Lakemeyer, and F. Madeo, "Fungal diseases — forgotten killers? Understanding the global burden of fungal infections," EMBO Mol. Med., vol. 12, no. 8, p. e12114, 2020.</w:t>
      </w:r>
    </w:p>
    <w:p>
      <w:pPr>
        <w:jc w:val="both"/>
        <w:spacing w:before="0" w:after="20"/>
        <w:ind w:left="360" w:hanging="360"/>
      </w:pPr>
      <w:r>
        <w:rPr>
          <w:rFonts w:ascii="Times New Roman" w:hAnsi="Times New Roman" w:cs="Times New Roman"/>
          <w:rFonts w:ascii="Times New Roman" w:hAnsi="Times New Roman"/>
          <w:b w:val="0"/>
          <w:i w:val="0"/>
          <w:sz w:val="18"/>
        </w:rPr>
        <w:t>[2] P. E. Verweij and J. F. Meis, "Microbiological diagnosis of invasive fungal infections: challenges and progress," J. Antimicrob. Chemother., vol. 55, suppl. 1, pp. 15–22, 2005.</w:t>
      </w:r>
    </w:p>
    <w:p>
      <w:pPr>
        <w:jc w:val="both"/>
        <w:spacing w:before="0" w:after="20"/>
        <w:ind w:left="360" w:hanging="360"/>
      </w:pPr>
      <w:r>
        <w:rPr>
          <w:rFonts w:ascii="Times New Roman" w:hAnsi="Times New Roman" w:cs="Times New Roman"/>
          <w:rFonts w:ascii="Times New Roman" w:hAnsi="Times New Roman"/>
          <w:b w:val="0"/>
          <w:i w:val="0"/>
          <w:sz w:val="18"/>
        </w:rPr>
        <w:t>[3] C. L. Srinidhi, O. Ciga, and A. L. Martel, "Deep neural network models for computational histopathology: a survey," Med. Image Anal., vol. 67, p. 101813, 2021.</w:t>
      </w:r>
    </w:p>
    <w:p>
      <w:pPr>
        <w:jc w:val="both"/>
        <w:spacing w:before="0" w:after="20"/>
        <w:ind w:left="360" w:hanging="360"/>
      </w:pPr>
      <w:r>
        <w:rPr>
          <w:rFonts w:ascii="Times New Roman" w:hAnsi="Times New Roman" w:cs="Times New Roman"/>
          <w:rFonts w:ascii="Times New Roman" w:hAnsi="Times New Roman"/>
          <w:b w:val="0"/>
          <w:i w:val="0"/>
          <w:sz w:val="18"/>
        </w:rPr>
        <w:t>[4] A. Dosovitskiy et al., "An image is worth 16x16 words: Transformers for image recognition at scale," in Proc. ICLR, 2021.</w:t>
      </w:r>
    </w:p>
    <w:p>
      <w:pPr>
        <w:jc w:val="both"/>
        <w:spacing w:before="0" w:after="20"/>
        <w:ind w:left="360" w:hanging="360"/>
      </w:pPr>
      <w:r>
        <w:rPr>
          <w:rFonts w:ascii="Times New Roman" w:hAnsi="Times New Roman" w:cs="Times New Roman"/>
          <w:rFonts w:ascii="Times New Roman" w:hAnsi="Times New Roman"/>
          <w:b w:val="0"/>
          <w:i w:val="0"/>
          <w:sz w:val="18"/>
        </w:rPr>
        <w:t>[5] K. He, X. Zhang, S. Ren, and J. Sun, "Deep residual learning for image recognition," in Proc. IEEE CVPR, pp. 770–778, 2016.</w:t>
      </w:r>
    </w:p>
    <w:p>
      <w:pPr>
        <w:jc w:val="both"/>
        <w:spacing w:before="0" w:after="20"/>
        <w:ind w:left="360" w:hanging="360"/>
      </w:pPr>
      <w:r>
        <w:rPr>
          <w:rFonts w:ascii="Times New Roman" w:hAnsi="Times New Roman" w:cs="Times New Roman"/>
          <w:rFonts w:ascii="Times New Roman" w:hAnsi="Times New Roman"/>
          <w:b w:val="0"/>
          <w:i w:val="0"/>
          <w:sz w:val="18"/>
        </w:rPr>
        <w:t>[6] M. Tan and Q. V. Le, "EfficientNet: Rethinking model scaling for convolutional neural networks," in Proc. ICML, vol. 97, pp. 6105–6114, 2019.</w:t>
      </w:r>
    </w:p>
    <w:p>
      <w:pPr>
        <w:jc w:val="both"/>
        <w:spacing w:before="0" w:after="20"/>
        <w:ind w:left="360" w:hanging="360"/>
      </w:pPr>
      <w:r>
        <w:rPr>
          <w:rFonts w:ascii="Times New Roman" w:hAnsi="Times New Roman" w:cs="Times New Roman"/>
          <w:rFonts w:ascii="Times New Roman" w:hAnsi="Times New Roman"/>
          <w:b w:val="0"/>
          <w:i w:val="0"/>
          <w:sz w:val="18"/>
        </w:rPr>
        <w:t>[7] Z. Liu et al., "Swin transformer: Hierarchical vision transformer using shifted windows," in Proc. IEEE ICCV, pp. 10012–10022, 2021.</w:t>
      </w:r>
    </w:p>
    <w:p>
      <w:pPr>
        <w:jc w:val="both"/>
        <w:spacing w:before="0" w:after="20"/>
        <w:ind w:left="360" w:hanging="360"/>
      </w:pPr>
      <w:r>
        <w:rPr>
          <w:rFonts w:ascii="Times New Roman" w:hAnsi="Times New Roman" w:cs="Times New Roman"/>
          <w:rFonts w:ascii="Times New Roman" w:hAnsi="Times New Roman"/>
          <w:b w:val="0"/>
          <w:i w:val="0"/>
          <w:sz w:val="18"/>
        </w:rPr>
        <w:t>[8] S. Abnar and W. Zuidema, "Quantifying attention flow in transformers," in Proc. ACL, pp. 4190–4197, 2020.</w:t>
      </w:r>
    </w:p>
    <w:p>
      <w:pPr>
        <w:jc w:val="both"/>
        <w:spacing w:before="0" w:after="20"/>
        <w:ind w:left="360" w:hanging="360"/>
      </w:pPr>
      <w:r>
        <w:rPr>
          <w:rFonts w:ascii="Times New Roman" w:hAnsi="Times New Roman" w:cs="Times New Roman"/>
          <w:rFonts w:ascii="Times New Roman" w:hAnsi="Times New Roman"/>
          <w:b w:val="0"/>
          <w:i w:val="0"/>
          <w:sz w:val="18"/>
        </w:rPr>
        <w:t>[9] R. R. Selvaraju et al., "Grad-CAM: Visual explanations from deep networks via gradient-based localization," Int. J. Comput. Vis., vol. 128, no. 2, pp. 336–359, 2020.</w:t>
      </w:r>
    </w:p>
    <w:p>
      <w:pPr>
        <w:jc w:val="both"/>
        <w:spacing w:before="0" w:after="20"/>
        <w:ind w:left="360" w:hanging="360"/>
      </w:pPr>
      <w:r>
        <w:rPr>
          <w:rFonts w:ascii="Times New Roman" w:hAnsi="Times New Roman" w:cs="Times New Roman"/>
          <w:rFonts w:ascii="Times New Roman" w:hAnsi="Times New Roman"/>
          <w:b w:val="0"/>
          <w:i w:val="0"/>
          <w:sz w:val="18"/>
        </w:rPr>
        <w:t>[10] P. Cassagne et al., "DeFungi: Direct mycological examination of microscopic fungi images," arXiv preprint arXiv:2110.04984, 2021.</w:t>
      </w:r>
    </w:p>
    <w:p>
      <w:pPr>
        <w:jc w:val="both"/>
        <w:spacing w:before="0" w:after="20"/>
        <w:ind w:left="360" w:hanging="360"/>
      </w:pPr>
      <w:r>
        <w:rPr>
          <w:rFonts w:ascii="Times New Roman" w:hAnsi="Times New Roman" w:cs="Times New Roman"/>
          <w:rFonts w:ascii="Times New Roman" w:hAnsi="Times New Roman"/>
          <w:b w:val="0"/>
          <w:i w:val="0"/>
          <w:sz w:val="18"/>
        </w:rPr>
        <w:t>[11] T.-Y. Lin, P. Dollar, R. Girshick, K. He, B. Hariharan, and S. Belongie, "Feature pyramid networks for object detection," in Proc. IEEE CVPR, pp. 2117–2125, 2017.</w:t>
      </w:r>
    </w:p>
    <w:p>
      <w:pPr>
        <w:jc w:val="both"/>
        <w:spacing w:before="0" w:after="20"/>
        <w:ind w:left="360" w:hanging="360"/>
      </w:pPr>
      <w:r>
        <w:rPr>
          <w:rFonts w:ascii="Times New Roman" w:hAnsi="Times New Roman" w:cs="Times New Roman"/>
          <w:rFonts w:ascii="Times New Roman" w:hAnsi="Times New Roman"/>
          <w:b w:val="0"/>
          <w:i w:val="0"/>
          <w:sz w:val="18"/>
        </w:rPr>
        <w:t>[12] M. Ilse, J. M. Tomczak, and M. Welling, "Attention-based deep multiple instance learning," in Proc. ICML, vol. 80, pp. 2127–2136, 2018.</w:t>
      </w:r>
    </w:p>
    <w:p>
      <w:pPr>
        <w:jc w:val="both"/>
        <w:spacing w:before="0" w:after="20"/>
        <w:ind w:left="360" w:hanging="360"/>
      </w:pPr>
      <w:r>
        <w:rPr>
          <w:rFonts w:ascii="Times New Roman" w:hAnsi="Times New Roman" w:cs="Times New Roman"/>
          <w:rFonts w:ascii="Times New Roman" w:hAnsi="Times New Roman"/>
          <w:b w:val="0"/>
          <w:i w:val="0"/>
          <w:sz w:val="18"/>
        </w:rPr>
        <w:t>[13] H. Zhang, M. Cisse, Y. N. Dauphin, and D. Lopez-Paz, "MixUp: Beyond empirical risk minimization," in Proc. ICLR, 2018.</w:t>
      </w:r>
    </w:p>
    <w:p>
      <w:pPr>
        <w:jc w:val="both"/>
        <w:spacing w:before="0" w:after="20"/>
        <w:ind w:left="360" w:hanging="360"/>
      </w:pPr>
      <w:r>
        <w:rPr>
          <w:rFonts w:ascii="Times New Roman" w:hAnsi="Times New Roman" w:cs="Times New Roman"/>
          <w:rFonts w:ascii="Times New Roman" w:hAnsi="Times New Roman"/>
          <w:b w:val="0"/>
          <w:i w:val="0"/>
          <w:sz w:val="18"/>
        </w:rPr>
        <w:t>[14] S. Yun, D. Han, S. J. Oh, S. Chun, J. Choe, and Y. Yoo, "CutMix: Training strategy that makes strongly localized contributions matter," in Proc. IEEE ICCV, pp. 6023–6032, 2019.</w:t>
      </w:r>
    </w:p>
    <w:p>
      <w:pPr>
        <w:jc w:val="both"/>
        <w:spacing w:before="0" w:after="20"/>
        <w:ind w:left="360" w:hanging="360"/>
      </w:pPr>
      <w:r>
        <w:rPr>
          <w:rFonts w:ascii="Times New Roman" w:hAnsi="Times New Roman" w:cs="Times New Roman"/>
          <w:rFonts w:ascii="Times New Roman" w:hAnsi="Times New Roman"/>
          <w:b w:val="0"/>
          <w:i w:val="0"/>
          <w:sz w:val="18"/>
        </w:rPr>
        <w:t>[15] Z. Zhong, L. Zheng, G. Kang, S. Li, and Y. Yang, "Random erasing data augmentation," in Proc. AAAI, vol. 34, pp. 13001–13008, 2020.</w:t>
      </w:r>
    </w:p>
    <w:p>
      <w:pPr>
        <w:jc w:val="both"/>
        <w:spacing w:before="0" w:after="20"/>
        <w:ind w:left="360" w:hanging="360"/>
      </w:pPr>
      <w:r>
        <w:rPr>
          <w:rFonts w:ascii="Times New Roman" w:hAnsi="Times New Roman" w:cs="Times New Roman"/>
          <w:rFonts w:ascii="Times New Roman" w:hAnsi="Times New Roman"/>
          <w:b w:val="0"/>
          <w:i w:val="0"/>
          <w:sz w:val="18"/>
        </w:rPr>
        <w:t>[16] C. Szegedy, V. Vanhoucke, S. Ioffe, J. Shlens, and Z. Wojna, "Rethinking the Inception architecture for computer vision," in Proc. IEEE CVPR, pp. 2818–2826, 2016.</w:t>
      </w:r>
    </w:p>
    <w:p>
      <w:pPr>
        <w:jc w:val="both"/>
        <w:spacing w:before="0" w:after="20"/>
        <w:ind w:left="360" w:hanging="360"/>
      </w:pPr>
      <w:r>
        <w:rPr>
          <w:rFonts w:ascii="Times New Roman" w:hAnsi="Times New Roman" w:cs="Times New Roman"/>
          <w:rFonts w:ascii="Times New Roman" w:hAnsi="Times New Roman"/>
          <w:b w:val="0"/>
          <w:i w:val="0"/>
          <w:sz w:val="18"/>
        </w:rPr>
        <w:t>[17] Y. Dai et al., "TransMed: Transformers advance multi-modal medical image classification," Diagnostics, vol. 11, no. 8, p. 1384, 2021.</w:t>
      </w:r>
    </w:p>
    <w:sectPr w:rsidR="00FC693F" w:rsidRPr="0006063C" w:rsidSect="00034616">
      <w:pgSz w:w="11906" w:h="16838"/>
      <w:pgMar w:top="1077" w:right="873" w:bottom="1440" w:left="873" w:header="720" w:footer="720" w:gutter="0"/>
      <w:cols w:space="720"/>
      <w:docGrid w:linePitch="360"/>
      <w:cols w:num="2" w:space="567"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