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35EC" w14:textId="77777777" w:rsidR="00C24BA0" w:rsidRDefault="00C24BA0" w:rsidP="00C24BA0">
      <w:pPr>
        <w:pStyle w:val="Heading1"/>
      </w:pPr>
      <w:r>
        <w:t>RBEYOND</w:t>
      </w:r>
    </w:p>
    <w:p w14:paraId="2F667341" w14:textId="77777777" w:rsidR="00C24BA0" w:rsidRDefault="00C24BA0" w:rsidP="00C24BA0">
      <w:pPr>
        <w:pStyle w:val="NormalWeb"/>
      </w:pPr>
      <w:r>
        <w:rPr>
          <w:rStyle w:val="Strong"/>
        </w:rPr>
        <w:t>Internal Control Documentation</w:t>
      </w:r>
      <w:r>
        <w:br/>
      </w:r>
      <w:r>
        <w:rPr>
          <w:rStyle w:val="Strong"/>
        </w:rPr>
        <w:t>Document Version:</w:t>
      </w:r>
      <w:r>
        <w:t xml:space="preserve"> 1.0</w:t>
      </w:r>
      <w:r>
        <w:br/>
      </w:r>
      <w:r>
        <w:rPr>
          <w:rStyle w:val="Strong"/>
        </w:rPr>
        <w:t>Effective Date:</w:t>
      </w:r>
      <w:r>
        <w:t xml:space="preserve"> July 3, 2025</w:t>
      </w:r>
      <w:r>
        <w:br/>
      </w:r>
      <w:r>
        <w:rPr>
          <w:rStyle w:val="Strong"/>
        </w:rPr>
        <w:t>Prepared By:</w:t>
      </w:r>
      <w:r>
        <w:t xml:space="preserve"> Internal Audit &amp; Risk Management Department</w:t>
      </w:r>
      <w:r>
        <w:br/>
      </w:r>
      <w:r>
        <w:rPr>
          <w:rStyle w:val="Strong"/>
        </w:rPr>
        <w:t>Reviewed By:</w:t>
      </w:r>
      <w:r>
        <w:t xml:space="preserve"> Compliance &amp; Regulatory Affairs Division</w:t>
      </w:r>
    </w:p>
    <w:p w14:paraId="08605A43" w14:textId="77777777" w:rsidR="00C24BA0" w:rsidRDefault="00C24BA0" w:rsidP="00C24BA0">
      <w:r>
        <w:pict w14:anchorId="6DAE07FC">
          <v:rect id="_x0000_i1031" style="width:0;height:1.5pt" o:hralign="center" o:hrstd="t" o:hr="t" fillcolor="#a0a0a0" stroked="f"/>
        </w:pict>
      </w:r>
    </w:p>
    <w:p w14:paraId="7373610D" w14:textId="77777777" w:rsidR="00C24BA0" w:rsidRDefault="00C24BA0" w:rsidP="00C24BA0">
      <w:pPr>
        <w:pStyle w:val="Heading2"/>
      </w:pPr>
      <w:r>
        <w:t>1. Introduction &amp; Purpose</w:t>
      </w:r>
    </w:p>
    <w:p w14:paraId="2C5F3014" w14:textId="77777777" w:rsidR="00C24BA0" w:rsidRDefault="00C24BA0" w:rsidP="00C24BA0">
      <w:pPr>
        <w:pStyle w:val="Heading3"/>
      </w:pPr>
      <w:r>
        <w:t>1.1 Overview</w:t>
      </w:r>
    </w:p>
    <w:p w14:paraId="5AC42896" w14:textId="77777777" w:rsidR="00C24BA0" w:rsidRDefault="00C24BA0" w:rsidP="00C24BA0">
      <w:pPr>
        <w:pStyle w:val="NormalWeb"/>
      </w:pPr>
      <w:r>
        <w:t xml:space="preserve">This document serves as the </w:t>
      </w:r>
      <w:r>
        <w:rPr>
          <w:rStyle w:val="Strong"/>
        </w:rPr>
        <w:t>Internal Control Framework</w:t>
      </w:r>
      <w:r>
        <w:t xml:space="preserve"> for RBEYOND, a financial entity operating across key verticals including retail banking, digital lending, and financial technology services. It has been prepared to systematically define, document, and track critical controls implemented across core operational, financial, IT, and compliance processes.</w:t>
      </w:r>
    </w:p>
    <w:p w14:paraId="3255DA9C" w14:textId="77777777" w:rsidR="00C24BA0" w:rsidRDefault="00C24BA0" w:rsidP="00C24BA0">
      <w:pPr>
        <w:pStyle w:val="NormalWeb"/>
      </w:pPr>
      <w:r>
        <w:t xml:space="preserve">The purpose of this document is to provide a </w:t>
      </w:r>
      <w:r>
        <w:rPr>
          <w:rStyle w:val="Strong"/>
        </w:rPr>
        <w:t>centralized reference point</w:t>
      </w:r>
      <w:r>
        <w:t xml:space="preserve"> for internal and external stakeholders—such as auditors, regulatory bodies, management, and risk owners—ensuring that all significant risks are adequately mitigated through effective and well-designed internal controls.</w:t>
      </w:r>
    </w:p>
    <w:p w14:paraId="22B05D87" w14:textId="77777777" w:rsidR="00C24BA0" w:rsidRDefault="00C24BA0" w:rsidP="00C24BA0">
      <w:pPr>
        <w:pStyle w:val="NormalWeb"/>
      </w:pPr>
      <w:r>
        <w:t xml:space="preserve">This control documentation supports RBEYOND’s commitment to </w:t>
      </w:r>
      <w:r>
        <w:rPr>
          <w:rStyle w:val="Strong"/>
        </w:rPr>
        <w:t>transparency, accountability, and regulatory compliance</w:t>
      </w:r>
      <w:r>
        <w:t>, ensuring that its control environment is robust, traceable, and continuously improved.</w:t>
      </w:r>
    </w:p>
    <w:p w14:paraId="6300C920" w14:textId="77777777" w:rsidR="00C24BA0" w:rsidRDefault="00C24BA0" w:rsidP="00C24BA0">
      <w:r>
        <w:pict w14:anchorId="48754323">
          <v:rect id="_x0000_i1032" style="width:0;height:1.5pt" o:hralign="center" o:hrstd="t" o:hr="t" fillcolor="#a0a0a0" stroked="f"/>
        </w:pict>
      </w:r>
    </w:p>
    <w:p w14:paraId="3030BC99" w14:textId="77777777" w:rsidR="00C24BA0" w:rsidRDefault="00C24BA0" w:rsidP="00C24BA0">
      <w:pPr>
        <w:pStyle w:val="Heading3"/>
      </w:pPr>
      <w:r>
        <w:t>1.2 Objectives</w:t>
      </w:r>
    </w:p>
    <w:p w14:paraId="58C0099B" w14:textId="77777777" w:rsidR="00C24BA0" w:rsidRDefault="00C24BA0" w:rsidP="00C24BA0">
      <w:pPr>
        <w:pStyle w:val="NormalWeb"/>
      </w:pPr>
      <w:r>
        <w:t>The core objectives of this control document are to:</w:t>
      </w:r>
    </w:p>
    <w:p w14:paraId="5A3D58D9" w14:textId="77777777" w:rsidR="00C24BA0" w:rsidRDefault="00C24BA0" w:rsidP="00C24BA0">
      <w:pPr>
        <w:pStyle w:val="NormalWeb"/>
        <w:numPr>
          <w:ilvl w:val="0"/>
          <w:numId w:val="10"/>
        </w:numPr>
      </w:pPr>
      <w:r>
        <w:t>Establish a formal inventory of controls mapped to business processes and risks.</w:t>
      </w:r>
    </w:p>
    <w:p w14:paraId="7E8658FE" w14:textId="77777777" w:rsidR="00C24BA0" w:rsidRDefault="00C24BA0" w:rsidP="00C24BA0">
      <w:pPr>
        <w:pStyle w:val="NormalWeb"/>
        <w:numPr>
          <w:ilvl w:val="0"/>
          <w:numId w:val="10"/>
        </w:numPr>
      </w:pPr>
      <w:r>
        <w:t xml:space="preserve">Ensure compliance with applicable </w:t>
      </w:r>
      <w:r>
        <w:rPr>
          <w:rStyle w:val="Strong"/>
        </w:rPr>
        <w:t>regulatory and statutory frameworks</w:t>
      </w:r>
      <w:r>
        <w:t xml:space="preserve"> (national and international).</w:t>
      </w:r>
    </w:p>
    <w:p w14:paraId="0310F227" w14:textId="77777777" w:rsidR="00C24BA0" w:rsidRDefault="00C24BA0" w:rsidP="00C24BA0">
      <w:pPr>
        <w:pStyle w:val="NormalWeb"/>
        <w:numPr>
          <w:ilvl w:val="0"/>
          <w:numId w:val="10"/>
        </w:numPr>
      </w:pPr>
      <w:r>
        <w:t xml:space="preserve">Prevent, detect, and respond to instances of </w:t>
      </w:r>
      <w:r>
        <w:rPr>
          <w:rStyle w:val="Strong"/>
        </w:rPr>
        <w:t>fraud, policy violations, and data breaches</w:t>
      </w:r>
      <w:r>
        <w:t>.</w:t>
      </w:r>
    </w:p>
    <w:p w14:paraId="3C26689B" w14:textId="77777777" w:rsidR="00C24BA0" w:rsidRDefault="00C24BA0" w:rsidP="00C24BA0">
      <w:pPr>
        <w:pStyle w:val="NormalWeb"/>
        <w:numPr>
          <w:ilvl w:val="0"/>
          <w:numId w:val="10"/>
        </w:numPr>
      </w:pPr>
      <w:r>
        <w:t xml:space="preserve">Facilitate </w:t>
      </w:r>
      <w:r>
        <w:rPr>
          <w:rStyle w:val="Strong"/>
        </w:rPr>
        <w:t>risk mitigation</w:t>
      </w:r>
      <w:r>
        <w:t xml:space="preserve"> through clearly defined control mechanisms.</w:t>
      </w:r>
    </w:p>
    <w:p w14:paraId="2887E31F" w14:textId="77777777" w:rsidR="00C24BA0" w:rsidRDefault="00C24BA0" w:rsidP="00C24BA0">
      <w:pPr>
        <w:pStyle w:val="NormalWeb"/>
        <w:numPr>
          <w:ilvl w:val="0"/>
          <w:numId w:val="10"/>
        </w:numPr>
      </w:pPr>
      <w:r>
        <w:t xml:space="preserve">Enhance the organization's ability to </w:t>
      </w:r>
      <w:r>
        <w:rPr>
          <w:rStyle w:val="Strong"/>
        </w:rPr>
        <w:t>withstand audits</w:t>
      </w:r>
      <w:r>
        <w:t>, due diligence, and supervisory reviews.</w:t>
      </w:r>
    </w:p>
    <w:p w14:paraId="0020DA75" w14:textId="77777777" w:rsidR="00C24BA0" w:rsidRDefault="00C24BA0" w:rsidP="00C24BA0">
      <w:pPr>
        <w:pStyle w:val="NormalWeb"/>
        <w:numPr>
          <w:ilvl w:val="0"/>
          <w:numId w:val="10"/>
        </w:numPr>
      </w:pPr>
      <w:r>
        <w:t xml:space="preserve">Promote </w:t>
      </w:r>
      <w:r>
        <w:rPr>
          <w:rStyle w:val="Strong"/>
        </w:rPr>
        <w:t>control ownership</w:t>
      </w:r>
      <w:r>
        <w:t xml:space="preserve"> and accountability across functions and verticals.</w:t>
      </w:r>
    </w:p>
    <w:p w14:paraId="076964D8" w14:textId="77777777" w:rsidR="00C24BA0" w:rsidRDefault="00C24BA0" w:rsidP="00C24BA0">
      <w:pPr>
        <w:pStyle w:val="NormalWeb"/>
        <w:numPr>
          <w:ilvl w:val="0"/>
          <w:numId w:val="10"/>
        </w:numPr>
      </w:pPr>
      <w:r>
        <w:t xml:space="preserve">Support the </w:t>
      </w:r>
      <w:r>
        <w:rPr>
          <w:rStyle w:val="Strong"/>
        </w:rPr>
        <w:t>design and testing</w:t>
      </w:r>
      <w:r>
        <w:t xml:space="preserve"> of controls for operational effectiveness and internal audits.</w:t>
      </w:r>
    </w:p>
    <w:p w14:paraId="714E57A2" w14:textId="77777777" w:rsidR="00C24BA0" w:rsidRDefault="00C24BA0" w:rsidP="00C24BA0">
      <w:r>
        <w:pict w14:anchorId="559D6177">
          <v:rect id="_x0000_i1033" style="width:0;height:1.5pt" o:hralign="center" o:hrstd="t" o:hr="t" fillcolor="#a0a0a0" stroked="f"/>
        </w:pict>
      </w:r>
    </w:p>
    <w:p w14:paraId="6584CDA9" w14:textId="77777777" w:rsidR="00C24BA0" w:rsidRDefault="00C24BA0" w:rsidP="00C24BA0">
      <w:pPr>
        <w:pStyle w:val="Heading3"/>
      </w:pPr>
      <w:r>
        <w:lastRenderedPageBreak/>
        <w:t>1.3 Scope</w:t>
      </w:r>
    </w:p>
    <w:p w14:paraId="32D2CC00" w14:textId="77777777" w:rsidR="00C24BA0" w:rsidRDefault="00C24BA0" w:rsidP="00C24BA0">
      <w:pPr>
        <w:pStyle w:val="NormalWeb"/>
      </w:pPr>
      <w:r>
        <w:t>This control document applies to all relevant business units, processes, and IT systems across RBEYOND’s organizational structure, including but not limited to:</w:t>
      </w:r>
    </w:p>
    <w:p w14:paraId="5BE8DC49" w14:textId="77777777" w:rsidR="00C24BA0" w:rsidRDefault="00C24BA0" w:rsidP="00C24BA0">
      <w:pPr>
        <w:pStyle w:val="NormalWeb"/>
        <w:numPr>
          <w:ilvl w:val="0"/>
          <w:numId w:val="11"/>
        </w:numPr>
      </w:pPr>
      <w:r>
        <w:rPr>
          <w:rStyle w:val="Strong"/>
        </w:rPr>
        <w:t>Departments Covered:</w:t>
      </w:r>
    </w:p>
    <w:p w14:paraId="0F57D6E1" w14:textId="77777777" w:rsidR="00C24BA0" w:rsidRDefault="00C24BA0" w:rsidP="00C24BA0">
      <w:pPr>
        <w:pStyle w:val="NormalWeb"/>
        <w:numPr>
          <w:ilvl w:val="1"/>
          <w:numId w:val="11"/>
        </w:numPr>
      </w:pPr>
      <w:r>
        <w:t>Retail Banking Operations</w:t>
      </w:r>
    </w:p>
    <w:p w14:paraId="37DB40F8" w14:textId="77777777" w:rsidR="00C24BA0" w:rsidRDefault="00C24BA0" w:rsidP="00C24BA0">
      <w:pPr>
        <w:pStyle w:val="NormalWeb"/>
        <w:numPr>
          <w:ilvl w:val="1"/>
          <w:numId w:val="11"/>
        </w:numPr>
      </w:pPr>
      <w:r>
        <w:t>Compliance &amp; Legal</w:t>
      </w:r>
    </w:p>
    <w:p w14:paraId="71582BA7" w14:textId="77777777" w:rsidR="00C24BA0" w:rsidRDefault="00C24BA0" w:rsidP="00C24BA0">
      <w:pPr>
        <w:pStyle w:val="NormalWeb"/>
        <w:numPr>
          <w:ilvl w:val="1"/>
          <w:numId w:val="11"/>
        </w:numPr>
      </w:pPr>
      <w:r>
        <w:t>Risk Management</w:t>
      </w:r>
    </w:p>
    <w:p w14:paraId="5E8FA365" w14:textId="77777777" w:rsidR="00C24BA0" w:rsidRDefault="00C24BA0" w:rsidP="00C24BA0">
      <w:pPr>
        <w:pStyle w:val="NormalWeb"/>
        <w:numPr>
          <w:ilvl w:val="1"/>
          <w:numId w:val="11"/>
        </w:numPr>
      </w:pPr>
      <w:r>
        <w:t>Information Technology &amp; Cybersecurity</w:t>
      </w:r>
    </w:p>
    <w:p w14:paraId="477C521A" w14:textId="77777777" w:rsidR="00C24BA0" w:rsidRDefault="00C24BA0" w:rsidP="00C24BA0">
      <w:pPr>
        <w:pStyle w:val="NormalWeb"/>
        <w:numPr>
          <w:ilvl w:val="1"/>
          <w:numId w:val="11"/>
        </w:numPr>
      </w:pPr>
      <w:r>
        <w:t>Finance &amp; Treasury</w:t>
      </w:r>
    </w:p>
    <w:p w14:paraId="07668551" w14:textId="77777777" w:rsidR="00C24BA0" w:rsidRDefault="00C24BA0" w:rsidP="00C24BA0">
      <w:pPr>
        <w:pStyle w:val="NormalWeb"/>
        <w:numPr>
          <w:ilvl w:val="1"/>
          <w:numId w:val="11"/>
        </w:numPr>
      </w:pPr>
      <w:r>
        <w:t>Product &amp; Digital Innovation</w:t>
      </w:r>
    </w:p>
    <w:p w14:paraId="03152E0D" w14:textId="77777777" w:rsidR="00C24BA0" w:rsidRDefault="00C24BA0" w:rsidP="00C24BA0">
      <w:pPr>
        <w:pStyle w:val="NormalWeb"/>
        <w:numPr>
          <w:ilvl w:val="0"/>
          <w:numId w:val="11"/>
        </w:numPr>
      </w:pPr>
      <w:r>
        <w:rPr>
          <w:rStyle w:val="Strong"/>
        </w:rPr>
        <w:t>Processes Covered:</w:t>
      </w:r>
    </w:p>
    <w:p w14:paraId="5E944FFC" w14:textId="77777777" w:rsidR="00C24BA0" w:rsidRDefault="00C24BA0" w:rsidP="00C24BA0">
      <w:pPr>
        <w:pStyle w:val="NormalWeb"/>
        <w:numPr>
          <w:ilvl w:val="1"/>
          <w:numId w:val="11"/>
        </w:numPr>
      </w:pPr>
      <w:r>
        <w:t>Customer onboarding and KYC</w:t>
      </w:r>
    </w:p>
    <w:p w14:paraId="7ACD5747" w14:textId="77777777" w:rsidR="00C24BA0" w:rsidRDefault="00C24BA0" w:rsidP="00C24BA0">
      <w:pPr>
        <w:pStyle w:val="NormalWeb"/>
        <w:numPr>
          <w:ilvl w:val="1"/>
          <w:numId w:val="11"/>
        </w:numPr>
      </w:pPr>
      <w:r>
        <w:t>Loan origination and approval</w:t>
      </w:r>
    </w:p>
    <w:p w14:paraId="329A42BE" w14:textId="77777777" w:rsidR="00C24BA0" w:rsidRDefault="00C24BA0" w:rsidP="00C24BA0">
      <w:pPr>
        <w:pStyle w:val="NormalWeb"/>
        <w:numPr>
          <w:ilvl w:val="1"/>
          <w:numId w:val="11"/>
        </w:numPr>
      </w:pPr>
      <w:r>
        <w:t>Transaction monitoring and fraud detection</w:t>
      </w:r>
    </w:p>
    <w:p w14:paraId="62FF47EA" w14:textId="77777777" w:rsidR="00C24BA0" w:rsidRDefault="00C24BA0" w:rsidP="00C24BA0">
      <w:pPr>
        <w:pStyle w:val="NormalWeb"/>
        <w:numPr>
          <w:ilvl w:val="1"/>
          <w:numId w:val="11"/>
        </w:numPr>
      </w:pPr>
      <w:r>
        <w:t>Regulatory reporting</w:t>
      </w:r>
    </w:p>
    <w:p w14:paraId="7676D47D" w14:textId="77777777" w:rsidR="00C24BA0" w:rsidRDefault="00C24BA0" w:rsidP="00C24BA0">
      <w:pPr>
        <w:pStyle w:val="NormalWeb"/>
        <w:numPr>
          <w:ilvl w:val="1"/>
          <w:numId w:val="11"/>
        </w:numPr>
      </w:pPr>
      <w:r>
        <w:t>Access control and privilege management</w:t>
      </w:r>
    </w:p>
    <w:p w14:paraId="47C2C29C" w14:textId="77777777" w:rsidR="00C24BA0" w:rsidRDefault="00C24BA0" w:rsidP="00C24BA0">
      <w:pPr>
        <w:pStyle w:val="NormalWeb"/>
        <w:numPr>
          <w:ilvl w:val="1"/>
          <w:numId w:val="11"/>
        </w:numPr>
      </w:pPr>
      <w:r>
        <w:t>Data governance and backup</w:t>
      </w:r>
    </w:p>
    <w:p w14:paraId="15B0B69D" w14:textId="77777777" w:rsidR="00C24BA0" w:rsidRDefault="00C24BA0" w:rsidP="00C24BA0">
      <w:pPr>
        <w:pStyle w:val="NormalWeb"/>
        <w:numPr>
          <w:ilvl w:val="0"/>
          <w:numId w:val="11"/>
        </w:numPr>
      </w:pPr>
      <w:r>
        <w:rPr>
          <w:rStyle w:val="Strong"/>
        </w:rPr>
        <w:t>Systems Covered:</w:t>
      </w:r>
    </w:p>
    <w:p w14:paraId="375A53A4" w14:textId="77777777" w:rsidR="00C24BA0" w:rsidRDefault="00C24BA0" w:rsidP="00C24BA0">
      <w:pPr>
        <w:pStyle w:val="NormalWeb"/>
        <w:numPr>
          <w:ilvl w:val="1"/>
          <w:numId w:val="11"/>
        </w:numPr>
      </w:pPr>
      <w:r>
        <w:t>Core banking system (CBS)</w:t>
      </w:r>
    </w:p>
    <w:p w14:paraId="1F4793AC" w14:textId="77777777" w:rsidR="00C24BA0" w:rsidRDefault="00C24BA0" w:rsidP="00C24BA0">
      <w:pPr>
        <w:pStyle w:val="NormalWeb"/>
        <w:numPr>
          <w:ilvl w:val="1"/>
          <w:numId w:val="11"/>
        </w:numPr>
      </w:pPr>
      <w:r>
        <w:t>Document management systems</w:t>
      </w:r>
    </w:p>
    <w:p w14:paraId="17F8DFD7" w14:textId="77777777" w:rsidR="00C24BA0" w:rsidRDefault="00C24BA0" w:rsidP="00C24BA0">
      <w:pPr>
        <w:pStyle w:val="NormalWeb"/>
        <w:numPr>
          <w:ilvl w:val="1"/>
          <w:numId w:val="11"/>
        </w:numPr>
      </w:pPr>
      <w:r>
        <w:t>AML/CFT screening tools</w:t>
      </w:r>
    </w:p>
    <w:p w14:paraId="41AFF0FB" w14:textId="77777777" w:rsidR="00C24BA0" w:rsidRDefault="00C24BA0" w:rsidP="00C24BA0">
      <w:pPr>
        <w:pStyle w:val="NormalWeb"/>
        <w:numPr>
          <w:ilvl w:val="1"/>
          <w:numId w:val="11"/>
        </w:numPr>
      </w:pPr>
      <w:r>
        <w:t>CRM and ERP platforms</w:t>
      </w:r>
    </w:p>
    <w:p w14:paraId="15BC97AA" w14:textId="77777777" w:rsidR="00C24BA0" w:rsidRDefault="00C24BA0" w:rsidP="00C24BA0">
      <w:pPr>
        <w:pStyle w:val="NormalWeb"/>
        <w:numPr>
          <w:ilvl w:val="1"/>
          <w:numId w:val="11"/>
        </w:numPr>
      </w:pPr>
      <w:r>
        <w:t>Regulatory reporting engines</w:t>
      </w:r>
    </w:p>
    <w:p w14:paraId="7F131D5C" w14:textId="77777777" w:rsidR="00C24BA0" w:rsidRDefault="00C24BA0" w:rsidP="00C24BA0">
      <w:pPr>
        <w:pStyle w:val="NormalWeb"/>
        <w:numPr>
          <w:ilvl w:val="1"/>
          <w:numId w:val="11"/>
        </w:numPr>
      </w:pPr>
      <w:r>
        <w:t>Internal audit and risk platforms</w:t>
      </w:r>
    </w:p>
    <w:p w14:paraId="1B5A5300" w14:textId="77777777" w:rsidR="00C24BA0" w:rsidRDefault="00C24BA0" w:rsidP="00C24BA0">
      <w:r>
        <w:pict w14:anchorId="11B10493">
          <v:rect id="_x0000_i1034" style="width:0;height:1.5pt" o:hralign="center" o:hrstd="t" o:hr="t" fillcolor="#a0a0a0" stroked="f"/>
        </w:pict>
      </w:r>
    </w:p>
    <w:p w14:paraId="732EF526" w14:textId="77777777" w:rsidR="00C24BA0" w:rsidRDefault="00C24BA0" w:rsidP="00C24BA0">
      <w:pPr>
        <w:pStyle w:val="Heading3"/>
      </w:pPr>
      <w:r>
        <w:t>1.4 Regulatory Framework Alignment</w:t>
      </w:r>
    </w:p>
    <w:p w14:paraId="6B7F9DF3" w14:textId="77777777" w:rsidR="00C24BA0" w:rsidRDefault="00C24BA0" w:rsidP="00C24BA0">
      <w:pPr>
        <w:pStyle w:val="NormalWeb"/>
      </w:pPr>
      <w:r>
        <w:t>This document is aligned with the control and compliance expectations laid out under the following key regulatory and legal frameworks:</w:t>
      </w:r>
    </w:p>
    <w:p w14:paraId="19DB69E4" w14:textId="77777777" w:rsidR="00C24BA0" w:rsidRDefault="00C24BA0" w:rsidP="00C24BA0">
      <w:pPr>
        <w:pStyle w:val="NormalWeb"/>
        <w:numPr>
          <w:ilvl w:val="0"/>
          <w:numId w:val="12"/>
        </w:numPr>
      </w:pPr>
      <w:r>
        <w:rPr>
          <w:rStyle w:val="Strong"/>
        </w:rPr>
        <w:t>SOX (Sarbanes-Oxley Act)</w:t>
      </w:r>
      <w:r>
        <w:t xml:space="preserve"> – Internal financial controls and auditability.</w:t>
      </w:r>
    </w:p>
    <w:p w14:paraId="117A17FD" w14:textId="77777777" w:rsidR="00C24BA0" w:rsidRDefault="00C24BA0" w:rsidP="00C24BA0">
      <w:pPr>
        <w:pStyle w:val="NormalWeb"/>
        <w:numPr>
          <w:ilvl w:val="0"/>
          <w:numId w:val="12"/>
        </w:numPr>
      </w:pPr>
      <w:r>
        <w:rPr>
          <w:rStyle w:val="Strong"/>
        </w:rPr>
        <w:t>Basel III</w:t>
      </w:r>
      <w:r>
        <w:t xml:space="preserve"> – Operational risk management, capital adequacy, and stress testing.</w:t>
      </w:r>
    </w:p>
    <w:p w14:paraId="13F6F551" w14:textId="77777777" w:rsidR="00C24BA0" w:rsidRDefault="00C24BA0" w:rsidP="00C24BA0">
      <w:pPr>
        <w:pStyle w:val="NormalWeb"/>
        <w:numPr>
          <w:ilvl w:val="0"/>
          <w:numId w:val="12"/>
        </w:numPr>
      </w:pPr>
      <w:r>
        <w:rPr>
          <w:rStyle w:val="Strong"/>
        </w:rPr>
        <w:t>GDPR</w:t>
      </w:r>
      <w:r>
        <w:t xml:space="preserve"> – Protection of personal data of EU-based customers.</w:t>
      </w:r>
    </w:p>
    <w:p w14:paraId="042DE4F1" w14:textId="77777777" w:rsidR="00C24BA0" w:rsidRDefault="00C24BA0" w:rsidP="00C24BA0">
      <w:pPr>
        <w:pStyle w:val="NormalWeb"/>
        <w:numPr>
          <w:ilvl w:val="0"/>
          <w:numId w:val="12"/>
        </w:numPr>
      </w:pPr>
      <w:r>
        <w:rPr>
          <w:rStyle w:val="Strong"/>
        </w:rPr>
        <w:t>IFRS (International Financial Reporting Standards)</w:t>
      </w:r>
      <w:r>
        <w:t xml:space="preserve"> – Financial reporting integrity.</w:t>
      </w:r>
    </w:p>
    <w:p w14:paraId="6FB4B416" w14:textId="77777777" w:rsidR="00C24BA0" w:rsidRDefault="00C24BA0" w:rsidP="00C24BA0">
      <w:pPr>
        <w:pStyle w:val="NormalWeb"/>
        <w:numPr>
          <w:ilvl w:val="0"/>
          <w:numId w:val="12"/>
        </w:numPr>
      </w:pPr>
      <w:r>
        <w:rPr>
          <w:rStyle w:val="Strong"/>
        </w:rPr>
        <w:t>RBI Guidelines (India)</w:t>
      </w:r>
      <w:r>
        <w:t xml:space="preserve"> – IT Framework for NBFCs, Master Directions on KYC, and Cybersecurity Controls.</w:t>
      </w:r>
    </w:p>
    <w:p w14:paraId="026D9539" w14:textId="77777777" w:rsidR="00C24BA0" w:rsidRDefault="00C24BA0" w:rsidP="00C24BA0">
      <w:pPr>
        <w:pStyle w:val="NormalWeb"/>
        <w:numPr>
          <w:ilvl w:val="0"/>
          <w:numId w:val="12"/>
        </w:numPr>
      </w:pPr>
      <w:r>
        <w:rPr>
          <w:rStyle w:val="Strong"/>
        </w:rPr>
        <w:t>Federal Reserve &amp; OCC Guidelines (USA)</w:t>
      </w:r>
      <w:r>
        <w:t xml:space="preserve"> – Enterprise risk, IT risk, and model risk management.</w:t>
      </w:r>
    </w:p>
    <w:p w14:paraId="41026E78" w14:textId="77777777" w:rsidR="00C24BA0" w:rsidRDefault="00C24BA0" w:rsidP="00C24BA0">
      <w:pPr>
        <w:pStyle w:val="NormalWeb"/>
        <w:numPr>
          <w:ilvl w:val="0"/>
          <w:numId w:val="12"/>
        </w:numPr>
      </w:pPr>
      <w:r>
        <w:rPr>
          <w:rStyle w:val="Strong"/>
        </w:rPr>
        <w:t>DPDP Act (India)</w:t>
      </w:r>
      <w:r>
        <w:t xml:space="preserve"> – Data protection and lawful processing of digital personal data.</w:t>
      </w:r>
    </w:p>
    <w:p w14:paraId="1554C55E" w14:textId="4F815384" w:rsidR="00C24BA0" w:rsidRDefault="00C24BA0" w:rsidP="00C24BA0">
      <w:pPr>
        <w:pStyle w:val="NormalWeb"/>
      </w:pPr>
      <w:r>
        <w:t>These frameworks provide the foundation against which all defined controls are benchmarked for design adequacy and operating effectiveness.</w:t>
      </w:r>
    </w:p>
    <w:p w14:paraId="7337FAE6" w14:textId="77777777" w:rsidR="00C24BA0" w:rsidRDefault="00C24BA0" w:rsidP="00C24BA0">
      <w:pPr>
        <w:pStyle w:val="Heading2"/>
      </w:pPr>
      <w:r>
        <w:lastRenderedPageBreak/>
        <w:t>2. Entity Overview</w:t>
      </w:r>
    </w:p>
    <w:p w14:paraId="45A14915" w14:textId="77777777" w:rsidR="00C24BA0" w:rsidRDefault="00C24BA0" w:rsidP="00C24BA0">
      <w:pPr>
        <w:pStyle w:val="Heading3"/>
      </w:pPr>
      <w:r>
        <w:t>2.1 Organizational Structure</w:t>
      </w:r>
    </w:p>
    <w:p w14:paraId="577D8A76" w14:textId="77777777" w:rsidR="00C24BA0" w:rsidRDefault="00C24BA0" w:rsidP="00C24BA0">
      <w:pPr>
        <w:pStyle w:val="NormalWeb"/>
      </w:pPr>
      <w:r>
        <w:t>RBEYOND is a diversified financial services organization operating across retail banking, lending, digital financial platforms, and investment services. The company operates in a matrix structure combining centralized governance with decentralized business unit autonomy to enhance risk management, regulatory compliance, and operational efficiency.</w:t>
      </w:r>
    </w:p>
    <w:p w14:paraId="0635B6EC" w14:textId="77777777" w:rsidR="00C24BA0" w:rsidRDefault="00C24BA0" w:rsidP="00C24BA0">
      <w:pPr>
        <w:pStyle w:val="NormalWeb"/>
      </w:pPr>
      <w:r>
        <w:t>The organizational hierarchy consists of the following core business and support units:</w:t>
      </w:r>
    </w:p>
    <w:p w14:paraId="55B73E58" w14:textId="77777777" w:rsidR="00C24BA0" w:rsidRDefault="00C24BA0" w:rsidP="00C24BA0">
      <w:pPr>
        <w:pStyle w:val="NormalWeb"/>
      </w:pPr>
      <w:r>
        <w:rPr>
          <w:rStyle w:val="Strong"/>
        </w:rPr>
        <w:t>Business Units:</w:t>
      </w:r>
    </w:p>
    <w:p w14:paraId="71DFA22A" w14:textId="77777777" w:rsidR="00C24BA0" w:rsidRDefault="00C24BA0" w:rsidP="00C24BA0">
      <w:pPr>
        <w:pStyle w:val="NormalWeb"/>
        <w:numPr>
          <w:ilvl w:val="0"/>
          <w:numId w:val="13"/>
        </w:numPr>
      </w:pPr>
      <w:r>
        <w:t>Retail &amp; SME Lending Division</w:t>
      </w:r>
    </w:p>
    <w:p w14:paraId="2B5D0A30" w14:textId="77777777" w:rsidR="00C24BA0" w:rsidRDefault="00C24BA0" w:rsidP="00C24BA0">
      <w:pPr>
        <w:pStyle w:val="NormalWeb"/>
        <w:numPr>
          <w:ilvl w:val="0"/>
          <w:numId w:val="13"/>
        </w:numPr>
      </w:pPr>
      <w:r>
        <w:t>Digital Payments &amp; Wallet Services</w:t>
      </w:r>
    </w:p>
    <w:p w14:paraId="2B5CA0B1" w14:textId="77777777" w:rsidR="00C24BA0" w:rsidRDefault="00C24BA0" w:rsidP="00C24BA0">
      <w:pPr>
        <w:pStyle w:val="NormalWeb"/>
        <w:numPr>
          <w:ilvl w:val="0"/>
          <w:numId w:val="13"/>
        </w:numPr>
      </w:pPr>
      <w:r>
        <w:t>Investment &amp; Wealth Management</w:t>
      </w:r>
    </w:p>
    <w:p w14:paraId="1B8D6432" w14:textId="77777777" w:rsidR="00C24BA0" w:rsidRDefault="00C24BA0" w:rsidP="00C24BA0">
      <w:pPr>
        <w:pStyle w:val="NormalWeb"/>
        <w:numPr>
          <w:ilvl w:val="0"/>
          <w:numId w:val="13"/>
        </w:numPr>
      </w:pPr>
      <w:r>
        <w:t>Treasury &amp; ALM (Asset-Liability Management)</w:t>
      </w:r>
    </w:p>
    <w:p w14:paraId="1A4986FE" w14:textId="77777777" w:rsidR="00C24BA0" w:rsidRDefault="00C24BA0" w:rsidP="00C24BA0">
      <w:pPr>
        <w:pStyle w:val="NormalWeb"/>
        <w:numPr>
          <w:ilvl w:val="0"/>
          <w:numId w:val="13"/>
        </w:numPr>
      </w:pPr>
      <w:r>
        <w:t>Corporate Finance &amp; Strategic Partnerships</w:t>
      </w:r>
    </w:p>
    <w:p w14:paraId="11CC73ED" w14:textId="77777777" w:rsidR="00C24BA0" w:rsidRDefault="00C24BA0" w:rsidP="00C24BA0">
      <w:pPr>
        <w:pStyle w:val="NormalWeb"/>
      </w:pPr>
      <w:r>
        <w:rPr>
          <w:rStyle w:val="Strong"/>
        </w:rPr>
        <w:t>Support &amp; Oversight Functions:</w:t>
      </w:r>
    </w:p>
    <w:p w14:paraId="6B8800AB" w14:textId="77777777" w:rsidR="00C24BA0" w:rsidRDefault="00C24BA0" w:rsidP="00C24BA0">
      <w:pPr>
        <w:pStyle w:val="NormalWeb"/>
        <w:numPr>
          <w:ilvl w:val="0"/>
          <w:numId w:val="14"/>
        </w:numPr>
      </w:pPr>
      <w:r>
        <w:t>Risk Management</w:t>
      </w:r>
    </w:p>
    <w:p w14:paraId="5B8E9B74" w14:textId="77777777" w:rsidR="00C24BA0" w:rsidRDefault="00C24BA0" w:rsidP="00C24BA0">
      <w:pPr>
        <w:pStyle w:val="NormalWeb"/>
        <w:numPr>
          <w:ilvl w:val="0"/>
          <w:numId w:val="14"/>
        </w:numPr>
      </w:pPr>
      <w:r>
        <w:t>Compliance &amp; Regulatory Affairs</w:t>
      </w:r>
    </w:p>
    <w:p w14:paraId="08EE8A62" w14:textId="77777777" w:rsidR="00C24BA0" w:rsidRDefault="00C24BA0" w:rsidP="00C24BA0">
      <w:pPr>
        <w:pStyle w:val="NormalWeb"/>
        <w:numPr>
          <w:ilvl w:val="0"/>
          <w:numId w:val="14"/>
        </w:numPr>
      </w:pPr>
      <w:r>
        <w:t>Internal Audit</w:t>
      </w:r>
    </w:p>
    <w:p w14:paraId="423F91E4" w14:textId="77777777" w:rsidR="00C24BA0" w:rsidRDefault="00C24BA0" w:rsidP="00C24BA0">
      <w:pPr>
        <w:pStyle w:val="NormalWeb"/>
        <w:numPr>
          <w:ilvl w:val="0"/>
          <w:numId w:val="14"/>
        </w:numPr>
      </w:pPr>
      <w:r>
        <w:t>Legal &amp; Corporate Governance</w:t>
      </w:r>
    </w:p>
    <w:p w14:paraId="1BCCABD3" w14:textId="77777777" w:rsidR="00C24BA0" w:rsidRDefault="00C24BA0" w:rsidP="00C24BA0">
      <w:pPr>
        <w:pStyle w:val="NormalWeb"/>
        <w:numPr>
          <w:ilvl w:val="0"/>
          <w:numId w:val="14"/>
        </w:numPr>
      </w:pPr>
      <w:r>
        <w:t>Information Technology &amp; Security</w:t>
      </w:r>
    </w:p>
    <w:p w14:paraId="15E888E2" w14:textId="77777777" w:rsidR="00C24BA0" w:rsidRDefault="00C24BA0" w:rsidP="00C24BA0">
      <w:pPr>
        <w:pStyle w:val="NormalWeb"/>
        <w:numPr>
          <w:ilvl w:val="0"/>
          <w:numId w:val="14"/>
        </w:numPr>
      </w:pPr>
      <w:r>
        <w:t>Finance &amp; Accounting</w:t>
      </w:r>
    </w:p>
    <w:p w14:paraId="14D807AB" w14:textId="77777777" w:rsidR="00C24BA0" w:rsidRDefault="00C24BA0" w:rsidP="00C24BA0">
      <w:pPr>
        <w:pStyle w:val="NormalWeb"/>
        <w:numPr>
          <w:ilvl w:val="0"/>
          <w:numId w:val="14"/>
        </w:numPr>
      </w:pPr>
      <w:r>
        <w:t>Human Resources</w:t>
      </w:r>
    </w:p>
    <w:p w14:paraId="3EAADC20" w14:textId="77777777" w:rsidR="00C24BA0" w:rsidRDefault="00C24BA0" w:rsidP="00C24BA0">
      <w:pPr>
        <w:pStyle w:val="NormalWeb"/>
      </w:pPr>
      <w:r>
        <w:t>A structured governance model ensures that decision-making, reporting, and escalations flow efficiently through all levels—from business units up to board committees.</w:t>
      </w:r>
    </w:p>
    <w:p w14:paraId="3BCB8986" w14:textId="77777777" w:rsidR="00C24BA0" w:rsidRDefault="00C24BA0" w:rsidP="00C24BA0">
      <w:r>
        <w:pict w14:anchorId="70C031CE">
          <v:rect id="_x0000_i1039" style="width:0;height:1.5pt" o:hralign="center" o:hrstd="t" o:hr="t" fillcolor="#a0a0a0" stroked="f"/>
        </w:pict>
      </w:r>
    </w:p>
    <w:p w14:paraId="0A67A19D" w14:textId="77777777" w:rsidR="00C24BA0" w:rsidRDefault="00C24BA0" w:rsidP="00C24BA0">
      <w:pPr>
        <w:pStyle w:val="Heading3"/>
      </w:pPr>
      <w:r>
        <w:t>2.2 Key Roles &amp; Responsibilities</w:t>
      </w:r>
    </w:p>
    <w:p w14:paraId="44AFC5E6" w14:textId="77777777" w:rsidR="00C24BA0" w:rsidRDefault="00C24BA0" w:rsidP="00C24BA0">
      <w:pPr>
        <w:pStyle w:val="NormalWeb"/>
      </w:pPr>
      <w:r>
        <w:t>To ensure effective control implementation, RBEYOND clearly defines ownership and accountability across strategic, tactical, and operational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5"/>
        <w:gridCol w:w="6281"/>
      </w:tblGrid>
      <w:tr w:rsidR="00C24BA0" w14:paraId="532F5017" w14:textId="77777777" w:rsidTr="00C24BA0">
        <w:trPr>
          <w:tblHeader/>
          <w:tblCellSpacing w:w="15" w:type="dxa"/>
        </w:trPr>
        <w:tc>
          <w:tcPr>
            <w:tcW w:w="0" w:type="auto"/>
            <w:vAlign w:val="center"/>
            <w:hideMark/>
          </w:tcPr>
          <w:p w14:paraId="2647D56F" w14:textId="77777777" w:rsidR="00C24BA0" w:rsidRDefault="00C24BA0">
            <w:pPr>
              <w:jc w:val="center"/>
              <w:rPr>
                <w:b/>
                <w:bCs/>
              </w:rPr>
            </w:pPr>
            <w:r>
              <w:rPr>
                <w:b/>
                <w:bCs/>
              </w:rPr>
              <w:t>Role</w:t>
            </w:r>
          </w:p>
        </w:tc>
        <w:tc>
          <w:tcPr>
            <w:tcW w:w="0" w:type="auto"/>
            <w:vAlign w:val="center"/>
            <w:hideMark/>
          </w:tcPr>
          <w:p w14:paraId="2CD3C4BD" w14:textId="77777777" w:rsidR="00C24BA0" w:rsidRDefault="00C24BA0">
            <w:pPr>
              <w:jc w:val="center"/>
              <w:rPr>
                <w:b/>
                <w:bCs/>
              </w:rPr>
            </w:pPr>
            <w:r>
              <w:rPr>
                <w:b/>
                <w:bCs/>
              </w:rPr>
              <w:t>Responsibility</w:t>
            </w:r>
          </w:p>
        </w:tc>
      </w:tr>
      <w:tr w:rsidR="00C24BA0" w14:paraId="30B581B2" w14:textId="77777777" w:rsidTr="00C24BA0">
        <w:trPr>
          <w:tblCellSpacing w:w="15" w:type="dxa"/>
        </w:trPr>
        <w:tc>
          <w:tcPr>
            <w:tcW w:w="0" w:type="auto"/>
            <w:vAlign w:val="center"/>
            <w:hideMark/>
          </w:tcPr>
          <w:p w14:paraId="59205C7E" w14:textId="77777777" w:rsidR="00C24BA0" w:rsidRDefault="00C24BA0">
            <w:r>
              <w:rPr>
                <w:rStyle w:val="Strong"/>
              </w:rPr>
              <w:t>Board of Directors</w:t>
            </w:r>
          </w:p>
        </w:tc>
        <w:tc>
          <w:tcPr>
            <w:tcW w:w="0" w:type="auto"/>
            <w:vAlign w:val="center"/>
            <w:hideMark/>
          </w:tcPr>
          <w:p w14:paraId="49893B51" w14:textId="77777777" w:rsidR="00C24BA0" w:rsidRDefault="00C24BA0">
            <w:r>
              <w:t>Oversight of internal control system, approving risk appetite, and strategic governance.</w:t>
            </w:r>
          </w:p>
        </w:tc>
      </w:tr>
      <w:tr w:rsidR="00C24BA0" w14:paraId="219B12EC" w14:textId="77777777" w:rsidTr="00C24BA0">
        <w:trPr>
          <w:tblCellSpacing w:w="15" w:type="dxa"/>
        </w:trPr>
        <w:tc>
          <w:tcPr>
            <w:tcW w:w="0" w:type="auto"/>
            <w:vAlign w:val="center"/>
            <w:hideMark/>
          </w:tcPr>
          <w:p w14:paraId="3E3D5963" w14:textId="77777777" w:rsidR="00C24BA0" w:rsidRDefault="00C24BA0">
            <w:r>
              <w:rPr>
                <w:rStyle w:val="Strong"/>
              </w:rPr>
              <w:t>Audit Committee</w:t>
            </w:r>
          </w:p>
        </w:tc>
        <w:tc>
          <w:tcPr>
            <w:tcW w:w="0" w:type="auto"/>
            <w:vAlign w:val="center"/>
            <w:hideMark/>
          </w:tcPr>
          <w:p w14:paraId="529B0EFE" w14:textId="77777777" w:rsidR="00C24BA0" w:rsidRDefault="00C24BA0">
            <w:r>
              <w:t>Reviews internal control adequacy, audit findings, and management responses.</w:t>
            </w:r>
          </w:p>
        </w:tc>
      </w:tr>
      <w:tr w:rsidR="00C24BA0" w14:paraId="46048710" w14:textId="77777777" w:rsidTr="00C24BA0">
        <w:trPr>
          <w:tblCellSpacing w:w="15" w:type="dxa"/>
        </w:trPr>
        <w:tc>
          <w:tcPr>
            <w:tcW w:w="0" w:type="auto"/>
            <w:vAlign w:val="center"/>
            <w:hideMark/>
          </w:tcPr>
          <w:p w14:paraId="5531A9BF" w14:textId="77777777" w:rsidR="00C24BA0" w:rsidRDefault="00C24BA0">
            <w:r>
              <w:rPr>
                <w:rStyle w:val="Strong"/>
              </w:rPr>
              <w:t>Risk Management Committee (RMC)</w:t>
            </w:r>
          </w:p>
        </w:tc>
        <w:tc>
          <w:tcPr>
            <w:tcW w:w="0" w:type="auto"/>
            <w:vAlign w:val="center"/>
            <w:hideMark/>
          </w:tcPr>
          <w:p w14:paraId="6D49DF33" w14:textId="77777777" w:rsidR="00C24BA0" w:rsidRDefault="00C24BA0">
            <w:r>
              <w:t>Oversees risk identification, measurement, mitigation strategies, and control performance across the enterprise.</w:t>
            </w:r>
          </w:p>
        </w:tc>
      </w:tr>
      <w:tr w:rsidR="00C24BA0" w14:paraId="2ABD6BBD" w14:textId="77777777" w:rsidTr="00C24BA0">
        <w:trPr>
          <w:tblCellSpacing w:w="15" w:type="dxa"/>
        </w:trPr>
        <w:tc>
          <w:tcPr>
            <w:tcW w:w="0" w:type="auto"/>
            <w:vAlign w:val="center"/>
            <w:hideMark/>
          </w:tcPr>
          <w:p w14:paraId="36BE3B11" w14:textId="77777777" w:rsidR="00C24BA0" w:rsidRDefault="00C24BA0">
            <w:r>
              <w:rPr>
                <w:rStyle w:val="Strong"/>
              </w:rPr>
              <w:lastRenderedPageBreak/>
              <w:t>Chief Risk Officer (CRO)</w:t>
            </w:r>
          </w:p>
        </w:tc>
        <w:tc>
          <w:tcPr>
            <w:tcW w:w="0" w:type="auto"/>
            <w:vAlign w:val="center"/>
            <w:hideMark/>
          </w:tcPr>
          <w:p w14:paraId="3AECD53D" w14:textId="77777777" w:rsidR="00C24BA0" w:rsidRDefault="00C24BA0">
            <w:r>
              <w:t>Leads the enterprise risk management (ERM) function, ensures proper risk-control alignment, and monitors high-impact control failures.</w:t>
            </w:r>
          </w:p>
        </w:tc>
      </w:tr>
      <w:tr w:rsidR="00C24BA0" w14:paraId="1BC55913" w14:textId="77777777" w:rsidTr="00C24BA0">
        <w:trPr>
          <w:tblCellSpacing w:w="15" w:type="dxa"/>
        </w:trPr>
        <w:tc>
          <w:tcPr>
            <w:tcW w:w="0" w:type="auto"/>
            <w:vAlign w:val="center"/>
            <w:hideMark/>
          </w:tcPr>
          <w:p w14:paraId="3FDAFEB0" w14:textId="77777777" w:rsidR="00C24BA0" w:rsidRDefault="00C24BA0">
            <w:r>
              <w:rPr>
                <w:rStyle w:val="Strong"/>
              </w:rPr>
              <w:t>Chief Compliance Officer (CCO)</w:t>
            </w:r>
          </w:p>
        </w:tc>
        <w:tc>
          <w:tcPr>
            <w:tcW w:w="0" w:type="auto"/>
            <w:vAlign w:val="center"/>
            <w:hideMark/>
          </w:tcPr>
          <w:p w14:paraId="4F697549" w14:textId="77777777" w:rsidR="00C24BA0" w:rsidRDefault="00C24BA0">
            <w:r>
              <w:t>Ensures compliance with laws and regulations; leads the control mapping to external regulatory requirements.</w:t>
            </w:r>
          </w:p>
        </w:tc>
      </w:tr>
      <w:tr w:rsidR="00C24BA0" w14:paraId="4C48E981" w14:textId="77777777" w:rsidTr="00C24BA0">
        <w:trPr>
          <w:tblCellSpacing w:w="15" w:type="dxa"/>
        </w:trPr>
        <w:tc>
          <w:tcPr>
            <w:tcW w:w="0" w:type="auto"/>
            <w:vAlign w:val="center"/>
            <w:hideMark/>
          </w:tcPr>
          <w:p w14:paraId="7CF6E26C" w14:textId="77777777" w:rsidR="00C24BA0" w:rsidRDefault="00C24BA0">
            <w:r>
              <w:rPr>
                <w:rStyle w:val="Strong"/>
              </w:rPr>
              <w:t>Chief Financial Officer (CFO)</w:t>
            </w:r>
          </w:p>
        </w:tc>
        <w:tc>
          <w:tcPr>
            <w:tcW w:w="0" w:type="auto"/>
            <w:vAlign w:val="center"/>
            <w:hideMark/>
          </w:tcPr>
          <w:p w14:paraId="2659561A" w14:textId="77777777" w:rsidR="00C24BA0" w:rsidRDefault="00C24BA0">
            <w:r>
              <w:t>Oversees financial controls, reporting integrity, and compliance with accounting standards (e.g., IFRS).</w:t>
            </w:r>
          </w:p>
        </w:tc>
      </w:tr>
      <w:tr w:rsidR="00C24BA0" w14:paraId="21F3807F" w14:textId="77777777" w:rsidTr="00C24BA0">
        <w:trPr>
          <w:tblCellSpacing w:w="15" w:type="dxa"/>
        </w:trPr>
        <w:tc>
          <w:tcPr>
            <w:tcW w:w="0" w:type="auto"/>
            <w:vAlign w:val="center"/>
            <w:hideMark/>
          </w:tcPr>
          <w:p w14:paraId="2432CD56" w14:textId="77777777" w:rsidR="00C24BA0" w:rsidRDefault="00C24BA0">
            <w:r>
              <w:rPr>
                <w:rStyle w:val="Strong"/>
              </w:rPr>
              <w:t>Chief Information Security Officer (CISO)</w:t>
            </w:r>
          </w:p>
        </w:tc>
        <w:tc>
          <w:tcPr>
            <w:tcW w:w="0" w:type="auto"/>
            <w:vAlign w:val="center"/>
            <w:hideMark/>
          </w:tcPr>
          <w:p w14:paraId="4BFC1D0E" w14:textId="77777777" w:rsidR="00C24BA0" w:rsidRDefault="00C24BA0">
            <w:r>
              <w:t>Owns the IT control framework, data protection, and cybersecurity architecture.</w:t>
            </w:r>
          </w:p>
        </w:tc>
      </w:tr>
      <w:tr w:rsidR="00C24BA0" w14:paraId="4245EB99" w14:textId="77777777" w:rsidTr="00C24BA0">
        <w:trPr>
          <w:tblCellSpacing w:w="15" w:type="dxa"/>
        </w:trPr>
        <w:tc>
          <w:tcPr>
            <w:tcW w:w="0" w:type="auto"/>
            <w:vAlign w:val="center"/>
            <w:hideMark/>
          </w:tcPr>
          <w:p w14:paraId="15955CE2" w14:textId="77777777" w:rsidR="00C24BA0" w:rsidRDefault="00C24BA0">
            <w:r>
              <w:rPr>
                <w:rStyle w:val="Strong"/>
              </w:rPr>
              <w:t>Head of Internal Audit</w:t>
            </w:r>
          </w:p>
        </w:tc>
        <w:tc>
          <w:tcPr>
            <w:tcW w:w="0" w:type="auto"/>
            <w:vAlign w:val="center"/>
            <w:hideMark/>
          </w:tcPr>
          <w:p w14:paraId="1E190E4A" w14:textId="77777777" w:rsidR="00C24BA0" w:rsidRDefault="00C24BA0">
            <w:r>
              <w:t>Independently evaluates the design and operating effectiveness of internal controls and reports to the Audit Committee.</w:t>
            </w:r>
          </w:p>
        </w:tc>
      </w:tr>
      <w:tr w:rsidR="00C24BA0" w14:paraId="635D7BCF" w14:textId="77777777" w:rsidTr="00C24BA0">
        <w:trPr>
          <w:tblCellSpacing w:w="15" w:type="dxa"/>
        </w:trPr>
        <w:tc>
          <w:tcPr>
            <w:tcW w:w="0" w:type="auto"/>
            <w:vAlign w:val="center"/>
            <w:hideMark/>
          </w:tcPr>
          <w:p w14:paraId="0F6C27B3" w14:textId="77777777" w:rsidR="00C24BA0" w:rsidRDefault="00C24BA0">
            <w:r>
              <w:rPr>
                <w:rStyle w:val="Strong"/>
              </w:rPr>
              <w:t>Control Owners (Process Heads/Managers)</w:t>
            </w:r>
          </w:p>
        </w:tc>
        <w:tc>
          <w:tcPr>
            <w:tcW w:w="0" w:type="auto"/>
            <w:vAlign w:val="center"/>
            <w:hideMark/>
          </w:tcPr>
          <w:p w14:paraId="433BACB5" w14:textId="77777777" w:rsidR="00C24BA0" w:rsidRDefault="00C24BA0">
            <w:r>
              <w:t>Execute controls in their respective domains and maintain evidence for monitoring and testing.</w:t>
            </w:r>
          </w:p>
        </w:tc>
      </w:tr>
      <w:tr w:rsidR="00C24BA0" w14:paraId="68E54865" w14:textId="77777777" w:rsidTr="00C24BA0">
        <w:trPr>
          <w:tblCellSpacing w:w="15" w:type="dxa"/>
        </w:trPr>
        <w:tc>
          <w:tcPr>
            <w:tcW w:w="0" w:type="auto"/>
            <w:vAlign w:val="center"/>
            <w:hideMark/>
          </w:tcPr>
          <w:p w14:paraId="1463AF29" w14:textId="77777777" w:rsidR="00C24BA0" w:rsidRDefault="00C24BA0">
            <w:r>
              <w:rPr>
                <w:rStyle w:val="Strong"/>
              </w:rPr>
              <w:t xml:space="preserve">First Line of </w:t>
            </w:r>
            <w:proofErr w:type="spellStart"/>
            <w:r>
              <w:rPr>
                <w:rStyle w:val="Strong"/>
              </w:rPr>
              <w:t>Defense</w:t>
            </w:r>
            <w:proofErr w:type="spellEnd"/>
            <w:r>
              <w:rPr>
                <w:rStyle w:val="Strong"/>
              </w:rPr>
              <w:t xml:space="preserve"> (Business Units)</w:t>
            </w:r>
          </w:p>
        </w:tc>
        <w:tc>
          <w:tcPr>
            <w:tcW w:w="0" w:type="auto"/>
            <w:vAlign w:val="center"/>
            <w:hideMark/>
          </w:tcPr>
          <w:p w14:paraId="4F436E24" w14:textId="77777777" w:rsidR="00C24BA0" w:rsidRDefault="00C24BA0">
            <w:r>
              <w:t>Responsible for executing day-to-day operations within the risk-control boundaries defined by corporate policy.</w:t>
            </w:r>
          </w:p>
        </w:tc>
      </w:tr>
    </w:tbl>
    <w:p w14:paraId="3F174B6B" w14:textId="77777777" w:rsidR="00C24BA0" w:rsidRDefault="00C24BA0" w:rsidP="00C24BA0">
      <w:pPr>
        <w:pStyle w:val="NormalWeb"/>
      </w:pPr>
      <w:r>
        <w:t xml:space="preserve">Each role is assigned with a control ownership model based on the </w:t>
      </w:r>
      <w:r>
        <w:rPr>
          <w:rStyle w:val="Strong"/>
        </w:rPr>
        <w:t xml:space="preserve">Three Lines of </w:t>
      </w:r>
      <w:proofErr w:type="spellStart"/>
      <w:r>
        <w:rPr>
          <w:rStyle w:val="Strong"/>
        </w:rPr>
        <w:t>Defense</w:t>
      </w:r>
      <w:proofErr w:type="spellEnd"/>
      <w:r>
        <w:rPr>
          <w:rStyle w:val="Strong"/>
        </w:rPr>
        <w:t xml:space="preserve"> Framework</w:t>
      </w:r>
      <w:r>
        <w:t>, ensuring robust segregation of duties and effective internal control governance.</w:t>
      </w:r>
    </w:p>
    <w:p w14:paraId="7BB523F4" w14:textId="77777777" w:rsidR="00C24BA0" w:rsidRDefault="00C24BA0" w:rsidP="00C24BA0">
      <w:r>
        <w:pict w14:anchorId="184391AB">
          <v:rect id="_x0000_i1040" style="width:0;height:1.5pt" o:hralign="center" o:hrstd="t" o:hr="t" fillcolor="#a0a0a0" stroked="f"/>
        </w:pict>
      </w:r>
    </w:p>
    <w:p w14:paraId="6F3150E8" w14:textId="77777777" w:rsidR="00C24BA0" w:rsidRDefault="00C24BA0" w:rsidP="00C24BA0">
      <w:pPr>
        <w:pStyle w:val="Heading3"/>
      </w:pPr>
      <w:r>
        <w:t>2.3 Business Processes</w:t>
      </w:r>
    </w:p>
    <w:p w14:paraId="51F9CB7E" w14:textId="77777777" w:rsidR="00C24BA0" w:rsidRDefault="00C24BA0" w:rsidP="00C24BA0">
      <w:pPr>
        <w:pStyle w:val="NormalWeb"/>
      </w:pPr>
      <w:r>
        <w:t>RBEYOND’s operations are structured around a wide range of financial and support processes. Controls are mapped to these processes to ensure transparency, compliance, fraud prevention, and risk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gridCol w:w="6627"/>
      </w:tblGrid>
      <w:tr w:rsidR="00C24BA0" w14:paraId="72C413BA" w14:textId="77777777" w:rsidTr="00C24BA0">
        <w:trPr>
          <w:tblHeader/>
          <w:tblCellSpacing w:w="15" w:type="dxa"/>
        </w:trPr>
        <w:tc>
          <w:tcPr>
            <w:tcW w:w="0" w:type="auto"/>
            <w:vAlign w:val="center"/>
            <w:hideMark/>
          </w:tcPr>
          <w:p w14:paraId="77007A4F" w14:textId="77777777" w:rsidR="00C24BA0" w:rsidRDefault="00C24BA0">
            <w:pPr>
              <w:jc w:val="center"/>
              <w:rPr>
                <w:b/>
                <w:bCs/>
              </w:rPr>
            </w:pPr>
            <w:r>
              <w:rPr>
                <w:b/>
                <w:bCs/>
              </w:rPr>
              <w:t>Business Domain</w:t>
            </w:r>
          </w:p>
        </w:tc>
        <w:tc>
          <w:tcPr>
            <w:tcW w:w="0" w:type="auto"/>
            <w:vAlign w:val="center"/>
            <w:hideMark/>
          </w:tcPr>
          <w:p w14:paraId="68612B39" w14:textId="77777777" w:rsidR="00C24BA0" w:rsidRDefault="00C24BA0">
            <w:pPr>
              <w:jc w:val="center"/>
              <w:rPr>
                <w:b/>
                <w:bCs/>
              </w:rPr>
            </w:pPr>
            <w:r>
              <w:rPr>
                <w:b/>
                <w:bCs/>
              </w:rPr>
              <w:t>Core Processes</w:t>
            </w:r>
          </w:p>
        </w:tc>
      </w:tr>
      <w:tr w:rsidR="00C24BA0" w14:paraId="7B9418DF" w14:textId="77777777" w:rsidTr="00C24BA0">
        <w:trPr>
          <w:tblCellSpacing w:w="15" w:type="dxa"/>
        </w:trPr>
        <w:tc>
          <w:tcPr>
            <w:tcW w:w="0" w:type="auto"/>
            <w:vAlign w:val="center"/>
            <w:hideMark/>
          </w:tcPr>
          <w:p w14:paraId="6735C798" w14:textId="77777777" w:rsidR="00C24BA0" w:rsidRDefault="00C24BA0">
            <w:r>
              <w:rPr>
                <w:rStyle w:val="Strong"/>
              </w:rPr>
              <w:t>Lending Operations</w:t>
            </w:r>
          </w:p>
        </w:tc>
        <w:tc>
          <w:tcPr>
            <w:tcW w:w="0" w:type="auto"/>
            <w:vAlign w:val="center"/>
            <w:hideMark/>
          </w:tcPr>
          <w:p w14:paraId="15370A55" w14:textId="77777777" w:rsidR="00C24BA0" w:rsidRDefault="00C24BA0">
            <w:r>
              <w:t>Customer onboarding, KYC/AML validation, credit appraisal, underwriting, loan disbursal, collection &amp; recovery.</w:t>
            </w:r>
          </w:p>
        </w:tc>
      </w:tr>
      <w:tr w:rsidR="00C24BA0" w14:paraId="725BD0F6" w14:textId="77777777" w:rsidTr="00C24BA0">
        <w:trPr>
          <w:tblCellSpacing w:w="15" w:type="dxa"/>
        </w:trPr>
        <w:tc>
          <w:tcPr>
            <w:tcW w:w="0" w:type="auto"/>
            <w:vAlign w:val="center"/>
            <w:hideMark/>
          </w:tcPr>
          <w:p w14:paraId="7B8B137A" w14:textId="77777777" w:rsidR="00C24BA0" w:rsidRDefault="00C24BA0">
            <w:r>
              <w:rPr>
                <w:rStyle w:val="Strong"/>
              </w:rPr>
              <w:t>Investment &amp; Wealth Management</w:t>
            </w:r>
          </w:p>
        </w:tc>
        <w:tc>
          <w:tcPr>
            <w:tcW w:w="0" w:type="auto"/>
            <w:vAlign w:val="center"/>
            <w:hideMark/>
          </w:tcPr>
          <w:p w14:paraId="217721E3" w14:textId="77777777" w:rsidR="00C24BA0" w:rsidRDefault="00C24BA0">
            <w:r>
              <w:t>Portfolio management, investor profiling, risk-based advisory, compliance with suitability norms.</w:t>
            </w:r>
          </w:p>
        </w:tc>
      </w:tr>
      <w:tr w:rsidR="00C24BA0" w14:paraId="77743824" w14:textId="77777777" w:rsidTr="00C24BA0">
        <w:trPr>
          <w:tblCellSpacing w:w="15" w:type="dxa"/>
        </w:trPr>
        <w:tc>
          <w:tcPr>
            <w:tcW w:w="0" w:type="auto"/>
            <w:vAlign w:val="center"/>
            <w:hideMark/>
          </w:tcPr>
          <w:p w14:paraId="476C62DB" w14:textId="77777777" w:rsidR="00C24BA0" w:rsidRDefault="00C24BA0">
            <w:r>
              <w:rPr>
                <w:rStyle w:val="Strong"/>
              </w:rPr>
              <w:t>Payments &amp; Digital Transactions</w:t>
            </w:r>
          </w:p>
        </w:tc>
        <w:tc>
          <w:tcPr>
            <w:tcW w:w="0" w:type="auto"/>
            <w:vAlign w:val="center"/>
            <w:hideMark/>
          </w:tcPr>
          <w:p w14:paraId="24193E35" w14:textId="77777777" w:rsidR="00C24BA0" w:rsidRDefault="00C24BA0">
            <w:r>
              <w:t>Payment gateway integration, digital wallet KYC, transaction screening, chargeback handling, settlement and reconciliation.</w:t>
            </w:r>
          </w:p>
        </w:tc>
      </w:tr>
      <w:tr w:rsidR="00C24BA0" w14:paraId="37541D6B" w14:textId="77777777" w:rsidTr="00C24BA0">
        <w:trPr>
          <w:tblCellSpacing w:w="15" w:type="dxa"/>
        </w:trPr>
        <w:tc>
          <w:tcPr>
            <w:tcW w:w="0" w:type="auto"/>
            <w:vAlign w:val="center"/>
            <w:hideMark/>
          </w:tcPr>
          <w:p w14:paraId="409AA275" w14:textId="77777777" w:rsidR="00C24BA0" w:rsidRDefault="00C24BA0">
            <w:r>
              <w:rPr>
                <w:rStyle w:val="Strong"/>
              </w:rPr>
              <w:t>Treasury &amp; ALM</w:t>
            </w:r>
          </w:p>
        </w:tc>
        <w:tc>
          <w:tcPr>
            <w:tcW w:w="0" w:type="auto"/>
            <w:vAlign w:val="center"/>
            <w:hideMark/>
          </w:tcPr>
          <w:p w14:paraId="07573335" w14:textId="77777777" w:rsidR="00C24BA0" w:rsidRDefault="00C24BA0">
            <w:r>
              <w:t>Cash flow monitoring, liquidity risk controls, FX exposure management, investment decisions, capital adequacy.</w:t>
            </w:r>
          </w:p>
        </w:tc>
      </w:tr>
      <w:tr w:rsidR="00C24BA0" w14:paraId="062D5787" w14:textId="77777777" w:rsidTr="00C24BA0">
        <w:trPr>
          <w:tblCellSpacing w:w="15" w:type="dxa"/>
        </w:trPr>
        <w:tc>
          <w:tcPr>
            <w:tcW w:w="0" w:type="auto"/>
            <w:vAlign w:val="center"/>
            <w:hideMark/>
          </w:tcPr>
          <w:p w14:paraId="30F96F4F" w14:textId="77777777" w:rsidR="00C24BA0" w:rsidRDefault="00C24BA0">
            <w:r>
              <w:rPr>
                <w:rStyle w:val="Strong"/>
              </w:rPr>
              <w:lastRenderedPageBreak/>
              <w:t>Customer Operations</w:t>
            </w:r>
          </w:p>
        </w:tc>
        <w:tc>
          <w:tcPr>
            <w:tcW w:w="0" w:type="auto"/>
            <w:vAlign w:val="center"/>
            <w:hideMark/>
          </w:tcPr>
          <w:p w14:paraId="6C2FF094" w14:textId="77777777" w:rsidR="00C24BA0" w:rsidRDefault="00C24BA0">
            <w:r>
              <w:t xml:space="preserve">Dispute resolution, service quality monitoring, contact </w:t>
            </w:r>
            <w:proofErr w:type="spellStart"/>
            <w:r>
              <w:t>center</w:t>
            </w:r>
            <w:proofErr w:type="spellEnd"/>
            <w:r>
              <w:t xml:space="preserve"> governance, customer consent &amp; data rights.</w:t>
            </w:r>
          </w:p>
        </w:tc>
      </w:tr>
      <w:tr w:rsidR="00C24BA0" w14:paraId="4C8549E5" w14:textId="77777777" w:rsidTr="00C24BA0">
        <w:trPr>
          <w:tblCellSpacing w:w="15" w:type="dxa"/>
        </w:trPr>
        <w:tc>
          <w:tcPr>
            <w:tcW w:w="0" w:type="auto"/>
            <w:vAlign w:val="center"/>
            <w:hideMark/>
          </w:tcPr>
          <w:p w14:paraId="14838FF7" w14:textId="77777777" w:rsidR="00C24BA0" w:rsidRDefault="00C24BA0">
            <w:r>
              <w:rPr>
                <w:rStyle w:val="Strong"/>
              </w:rPr>
              <w:t>IT &amp; Cybersecurity</w:t>
            </w:r>
          </w:p>
        </w:tc>
        <w:tc>
          <w:tcPr>
            <w:tcW w:w="0" w:type="auto"/>
            <w:vAlign w:val="center"/>
            <w:hideMark/>
          </w:tcPr>
          <w:p w14:paraId="1636B9DE" w14:textId="77777777" w:rsidR="00C24BA0" w:rsidRDefault="00C24BA0">
            <w:r>
              <w:t>Access controls, system monitoring, data classification, vulnerability management, backup and disaster recovery.</w:t>
            </w:r>
          </w:p>
        </w:tc>
      </w:tr>
      <w:tr w:rsidR="00C24BA0" w14:paraId="03E06B17" w14:textId="77777777" w:rsidTr="00C24BA0">
        <w:trPr>
          <w:tblCellSpacing w:w="15" w:type="dxa"/>
        </w:trPr>
        <w:tc>
          <w:tcPr>
            <w:tcW w:w="0" w:type="auto"/>
            <w:vAlign w:val="center"/>
            <w:hideMark/>
          </w:tcPr>
          <w:p w14:paraId="3070C4A3" w14:textId="77777777" w:rsidR="00C24BA0" w:rsidRDefault="00C24BA0">
            <w:r>
              <w:rPr>
                <w:rStyle w:val="Strong"/>
              </w:rPr>
              <w:t>Regulatory Reporting</w:t>
            </w:r>
          </w:p>
        </w:tc>
        <w:tc>
          <w:tcPr>
            <w:tcW w:w="0" w:type="auto"/>
            <w:vAlign w:val="center"/>
            <w:hideMark/>
          </w:tcPr>
          <w:p w14:paraId="71347103" w14:textId="77777777" w:rsidR="00C24BA0" w:rsidRDefault="00C24BA0">
            <w:r>
              <w:t>Regulatory returns (RBI, SEBI, etc.), supervisory disclosures, XBRL filings, control attestation and audit trail submission.</w:t>
            </w:r>
          </w:p>
        </w:tc>
      </w:tr>
      <w:tr w:rsidR="00C24BA0" w14:paraId="6A3EABAE" w14:textId="77777777" w:rsidTr="00C24BA0">
        <w:trPr>
          <w:tblCellSpacing w:w="15" w:type="dxa"/>
        </w:trPr>
        <w:tc>
          <w:tcPr>
            <w:tcW w:w="0" w:type="auto"/>
            <w:vAlign w:val="center"/>
            <w:hideMark/>
          </w:tcPr>
          <w:p w14:paraId="53791384" w14:textId="77777777" w:rsidR="00C24BA0" w:rsidRDefault="00C24BA0">
            <w:r>
              <w:rPr>
                <w:rStyle w:val="Strong"/>
              </w:rPr>
              <w:t>Financial Management</w:t>
            </w:r>
          </w:p>
        </w:tc>
        <w:tc>
          <w:tcPr>
            <w:tcW w:w="0" w:type="auto"/>
            <w:vAlign w:val="center"/>
            <w:hideMark/>
          </w:tcPr>
          <w:p w14:paraId="66EE97B3" w14:textId="77777777" w:rsidR="00C24BA0" w:rsidRDefault="00C24BA0">
            <w:r>
              <w:t>General ledger, budgeting and forecasting, financial consolidation, intercompany transactions, IFRS alignment.</w:t>
            </w:r>
          </w:p>
        </w:tc>
      </w:tr>
    </w:tbl>
    <w:p w14:paraId="014D2382" w14:textId="48A164E8" w:rsidR="00C24BA0" w:rsidRDefault="00C24BA0" w:rsidP="00C24BA0">
      <w:pPr>
        <w:pStyle w:val="NormalWeb"/>
      </w:pPr>
      <w:r>
        <w:t xml:space="preserve">These processes are subject to </w:t>
      </w:r>
      <w:r>
        <w:rPr>
          <w:rStyle w:val="Strong"/>
        </w:rPr>
        <w:t>risk-based control testing</w:t>
      </w:r>
      <w:r>
        <w:t xml:space="preserve"> and ongoing improvements through audit observations, regulatory feedback, and operational learnings.</w:t>
      </w:r>
    </w:p>
    <w:p w14:paraId="34E5B40F" w14:textId="77777777" w:rsidR="00C24BA0" w:rsidRDefault="00C24BA0" w:rsidP="00C24BA0">
      <w:pPr>
        <w:pStyle w:val="Heading2"/>
      </w:pPr>
      <w:r>
        <w:t>3. Risk Assessment &amp; Control Environment</w:t>
      </w:r>
    </w:p>
    <w:p w14:paraId="6B3967A2" w14:textId="77777777" w:rsidR="00C24BA0" w:rsidRDefault="00C24BA0" w:rsidP="00C24BA0">
      <w:pPr>
        <w:pStyle w:val="Heading3"/>
      </w:pPr>
      <w:r>
        <w:t>3.1 Identified Risk Categories</w:t>
      </w:r>
    </w:p>
    <w:p w14:paraId="144996EF" w14:textId="77777777" w:rsidR="00C24BA0" w:rsidRDefault="00C24BA0" w:rsidP="00C24BA0">
      <w:pPr>
        <w:pStyle w:val="NormalWeb"/>
      </w:pPr>
      <w:r>
        <w:t xml:space="preserve">RBEYOND operates within a dynamic financial environment that exposes it to a wide array of risks. As part of its </w:t>
      </w:r>
      <w:r>
        <w:rPr>
          <w:rStyle w:val="Strong"/>
        </w:rPr>
        <w:t>Enterprise Risk Management (ERM)</w:t>
      </w:r>
      <w:r>
        <w:t xml:space="preserve"> program, the following key risk categories have been identified and assessed for materiality, likelihood, and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4787"/>
        <w:gridCol w:w="2548"/>
      </w:tblGrid>
      <w:tr w:rsidR="00C24BA0" w14:paraId="13BE12C2" w14:textId="77777777" w:rsidTr="00C24BA0">
        <w:trPr>
          <w:tblHeader/>
          <w:tblCellSpacing w:w="15" w:type="dxa"/>
        </w:trPr>
        <w:tc>
          <w:tcPr>
            <w:tcW w:w="0" w:type="auto"/>
            <w:vAlign w:val="center"/>
            <w:hideMark/>
          </w:tcPr>
          <w:p w14:paraId="663003A6" w14:textId="77777777" w:rsidR="00C24BA0" w:rsidRDefault="00C24BA0">
            <w:pPr>
              <w:jc w:val="center"/>
              <w:rPr>
                <w:b/>
                <w:bCs/>
              </w:rPr>
            </w:pPr>
            <w:r>
              <w:rPr>
                <w:b/>
                <w:bCs/>
              </w:rPr>
              <w:t>Risk Category</w:t>
            </w:r>
          </w:p>
        </w:tc>
        <w:tc>
          <w:tcPr>
            <w:tcW w:w="0" w:type="auto"/>
            <w:vAlign w:val="center"/>
            <w:hideMark/>
          </w:tcPr>
          <w:p w14:paraId="5B08D351" w14:textId="77777777" w:rsidR="00C24BA0" w:rsidRDefault="00C24BA0">
            <w:pPr>
              <w:jc w:val="center"/>
              <w:rPr>
                <w:b/>
                <w:bCs/>
              </w:rPr>
            </w:pPr>
            <w:r>
              <w:rPr>
                <w:b/>
                <w:bCs/>
              </w:rPr>
              <w:t>Description</w:t>
            </w:r>
          </w:p>
        </w:tc>
        <w:tc>
          <w:tcPr>
            <w:tcW w:w="0" w:type="auto"/>
            <w:vAlign w:val="center"/>
            <w:hideMark/>
          </w:tcPr>
          <w:p w14:paraId="7C9FA65C" w14:textId="77777777" w:rsidR="00C24BA0" w:rsidRDefault="00C24BA0">
            <w:pPr>
              <w:jc w:val="center"/>
              <w:rPr>
                <w:b/>
                <w:bCs/>
              </w:rPr>
            </w:pPr>
            <w:r>
              <w:rPr>
                <w:b/>
                <w:bCs/>
              </w:rPr>
              <w:t>Typical Impact Areas</w:t>
            </w:r>
          </w:p>
        </w:tc>
      </w:tr>
      <w:tr w:rsidR="00C24BA0" w14:paraId="55CEA98F" w14:textId="77777777" w:rsidTr="00C24BA0">
        <w:trPr>
          <w:tblCellSpacing w:w="15" w:type="dxa"/>
        </w:trPr>
        <w:tc>
          <w:tcPr>
            <w:tcW w:w="0" w:type="auto"/>
            <w:vAlign w:val="center"/>
            <w:hideMark/>
          </w:tcPr>
          <w:p w14:paraId="7DE24F59" w14:textId="77777777" w:rsidR="00C24BA0" w:rsidRDefault="00C24BA0">
            <w:r>
              <w:rPr>
                <w:rStyle w:val="Strong"/>
              </w:rPr>
              <w:t>Credit Risk</w:t>
            </w:r>
          </w:p>
        </w:tc>
        <w:tc>
          <w:tcPr>
            <w:tcW w:w="0" w:type="auto"/>
            <w:vAlign w:val="center"/>
            <w:hideMark/>
          </w:tcPr>
          <w:p w14:paraId="6E0B1658" w14:textId="77777777" w:rsidR="00C24BA0" w:rsidRDefault="00C24BA0">
            <w:r>
              <w:t>Possibility of financial loss due to a borrower’s failure to repay a loan or meet contractual obligations.</w:t>
            </w:r>
          </w:p>
        </w:tc>
        <w:tc>
          <w:tcPr>
            <w:tcW w:w="0" w:type="auto"/>
            <w:vAlign w:val="center"/>
            <w:hideMark/>
          </w:tcPr>
          <w:p w14:paraId="3A65287A" w14:textId="77777777" w:rsidR="00C24BA0" w:rsidRDefault="00C24BA0">
            <w:r>
              <w:t>Loan portfolio quality, provisioning, capital adequacy.</w:t>
            </w:r>
          </w:p>
        </w:tc>
      </w:tr>
      <w:tr w:rsidR="00C24BA0" w14:paraId="511FDE17" w14:textId="77777777" w:rsidTr="00C24BA0">
        <w:trPr>
          <w:tblCellSpacing w:w="15" w:type="dxa"/>
        </w:trPr>
        <w:tc>
          <w:tcPr>
            <w:tcW w:w="0" w:type="auto"/>
            <w:vAlign w:val="center"/>
            <w:hideMark/>
          </w:tcPr>
          <w:p w14:paraId="744BB999" w14:textId="77777777" w:rsidR="00C24BA0" w:rsidRDefault="00C24BA0">
            <w:r>
              <w:rPr>
                <w:rStyle w:val="Strong"/>
              </w:rPr>
              <w:t>Market Risk</w:t>
            </w:r>
          </w:p>
        </w:tc>
        <w:tc>
          <w:tcPr>
            <w:tcW w:w="0" w:type="auto"/>
            <w:vAlign w:val="center"/>
            <w:hideMark/>
          </w:tcPr>
          <w:p w14:paraId="181C1CF1" w14:textId="77777777" w:rsidR="00C24BA0" w:rsidRDefault="00C24BA0">
            <w:r>
              <w:t>Exposure to changes in market variables such as interest rates, exchange rates, or equity prices.</w:t>
            </w:r>
          </w:p>
        </w:tc>
        <w:tc>
          <w:tcPr>
            <w:tcW w:w="0" w:type="auto"/>
            <w:vAlign w:val="center"/>
            <w:hideMark/>
          </w:tcPr>
          <w:p w14:paraId="098F14DB" w14:textId="77777777" w:rsidR="00C24BA0" w:rsidRDefault="00C24BA0">
            <w:r>
              <w:t>Treasury operations, asset valuation, trading book.</w:t>
            </w:r>
          </w:p>
        </w:tc>
      </w:tr>
      <w:tr w:rsidR="00C24BA0" w14:paraId="695674BB" w14:textId="77777777" w:rsidTr="00C24BA0">
        <w:trPr>
          <w:tblCellSpacing w:w="15" w:type="dxa"/>
        </w:trPr>
        <w:tc>
          <w:tcPr>
            <w:tcW w:w="0" w:type="auto"/>
            <w:vAlign w:val="center"/>
            <w:hideMark/>
          </w:tcPr>
          <w:p w14:paraId="4E97EB9A" w14:textId="77777777" w:rsidR="00C24BA0" w:rsidRDefault="00C24BA0">
            <w:r>
              <w:rPr>
                <w:rStyle w:val="Strong"/>
              </w:rPr>
              <w:t>Operational Risk</w:t>
            </w:r>
          </w:p>
        </w:tc>
        <w:tc>
          <w:tcPr>
            <w:tcW w:w="0" w:type="auto"/>
            <w:vAlign w:val="center"/>
            <w:hideMark/>
          </w:tcPr>
          <w:p w14:paraId="35364538" w14:textId="77777777" w:rsidR="00C24BA0" w:rsidRDefault="00C24BA0">
            <w:r>
              <w:t>Risk of loss resulting from failed internal processes, systems, human error, or external events.</w:t>
            </w:r>
          </w:p>
        </w:tc>
        <w:tc>
          <w:tcPr>
            <w:tcW w:w="0" w:type="auto"/>
            <w:vAlign w:val="center"/>
            <w:hideMark/>
          </w:tcPr>
          <w:p w14:paraId="7E0A39C0" w14:textId="77777777" w:rsidR="00C24BA0" w:rsidRDefault="00C24BA0">
            <w:r>
              <w:t>Process failures, reconciliation errors, business continuity.</w:t>
            </w:r>
          </w:p>
        </w:tc>
      </w:tr>
      <w:tr w:rsidR="00C24BA0" w14:paraId="7DC10845" w14:textId="77777777" w:rsidTr="00C24BA0">
        <w:trPr>
          <w:tblCellSpacing w:w="15" w:type="dxa"/>
        </w:trPr>
        <w:tc>
          <w:tcPr>
            <w:tcW w:w="0" w:type="auto"/>
            <w:vAlign w:val="center"/>
            <w:hideMark/>
          </w:tcPr>
          <w:p w14:paraId="34C91F0C" w14:textId="77777777" w:rsidR="00C24BA0" w:rsidRDefault="00C24BA0">
            <w:r>
              <w:rPr>
                <w:rStyle w:val="Strong"/>
              </w:rPr>
              <w:t>Liquidity Risk</w:t>
            </w:r>
          </w:p>
        </w:tc>
        <w:tc>
          <w:tcPr>
            <w:tcW w:w="0" w:type="auto"/>
            <w:vAlign w:val="center"/>
            <w:hideMark/>
          </w:tcPr>
          <w:p w14:paraId="22B8E587" w14:textId="77777777" w:rsidR="00C24BA0" w:rsidRDefault="00C24BA0">
            <w:r>
              <w:t>Inability to meet short-term financial obligations due to inadequate cash flow or funding.</w:t>
            </w:r>
          </w:p>
        </w:tc>
        <w:tc>
          <w:tcPr>
            <w:tcW w:w="0" w:type="auto"/>
            <w:vAlign w:val="center"/>
            <w:hideMark/>
          </w:tcPr>
          <w:p w14:paraId="2A4A418A" w14:textId="77777777" w:rsidR="00C24BA0" w:rsidRDefault="00C24BA0">
            <w:r>
              <w:t>Payment processing, redemptions, settlement cycles.</w:t>
            </w:r>
          </w:p>
        </w:tc>
      </w:tr>
      <w:tr w:rsidR="00C24BA0" w14:paraId="782AC06A" w14:textId="77777777" w:rsidTr="00C24BA0">
        <w:trPr>
          <w:tblCellSpacing w:w="15" w:type="dxa"/>
        </w:trPr>
        <w:tc>
          <w:tcPr>
            <w:tcW w:w="0" w:type="auto"/>
            <w:vAlign w:val="center"/>
            <w:hideMark/>
          </w:tcPr>
          <w:p w14:paraId="716747A8" w14:textId="77777777" w:rsidR="00C24BA0" w:rsidRDefault="00C24BA0">
            <w:r>
              <w:rPr>
                <w:rStyle w:val="Strong"/>
              </w:rPr>
              <w:t>Fraud Risk</w:t>
            </w:r>
          </w:p>
        </w:tc>
        <w:tc>
          <w:tcPr>
            <w:tcW w:w="0" w:type="auto"/>
            <w:vAlign w:val="center"/>
            <w:hideMark/>
          </w:tcPr>
          <w:p w14:paraId="2234FD55" w14:textId="77777777" w:rsidR="00C24BA0" w:rsidRDefault="00C24BA0">
            <w:r>
              <w:t>Internal or external attempts to circumvent systems for financial gain, including collusion, identity theft, and transaction manipulation.</w:t>
            </w:r>
          </w:p>
        </w:tc>
        <w:tc>
          <w:tcPr>
            <w:tcW w:w="0" w:type="auto"/>
            <w:vAlign w:val="center"/>
            <w:hideMark/>
          </w:tcPr>
          <w:p w14:paraId="65E75EBF" w14:textId="77777777" w:rsidR="00C24BA0" w:rsidRDefault="00C24BA0">
            <w:r>
              <w:t>Transaction integrity, brand risk, financial loss.</w:t>
            </w:r>
          </w:p>
        </w:tc>
      </w:tr>
      <w:tr w:rsidR="00C24BA0" w14:paraId="3C0BBD68" w14:textId="77777777" w:rsidTr="00C24BA0">
        <w:trPr>
          <w:tblCellSpacing w:w="15" w:type="dxa"/>
        </w:trPr>
        <w:tc>
          <w:tcPr>
            <w:tcW w:w="0" w:type="auto"/>
            <w:vAlign w:val="center"/>
            <w:hideMark/>
          </w:tcPr>
          <w:p w14:paraId="1B24AC74" w14:textId="77777777" w:rsidR="00C24BA0" w:rsidRDefault="00C24BA0">
            <w:r>
              <w:rPr>
                <w:rStyle w:val="Strong"/>
              </w:rPr>
              <w:t>Cyber Risk</w:t>
            </w:r>
          </w:p>
        </w:tc>
        <w:tc>
          <w:tcPr>
            <w:tcW w:w="0" w:type="auto"/>
            <w:vAlign w:val="center"/>
            <w:hideMark/>
          </w:tcPr>
          <w:p w14:paraId="68F8A10D" w14:textId="77777777" w:rsidR="00C24BA0" w:rsidRDefault="00C24BA0">
            <w:r>
              <w:t>Threats to data confidentiality, system availability, and information integrity due to cyberattacks or IT vulnerabilities.</w:t>
            </w:r>
          </w:p>
        </w:tc>
        <w:tc>
          <w:tcPr>
            <w:tcW w:w="0" w:type="auto"/>
            <w:vAlign w:val="center"/>
            <w:hideMark/>
          </w:tcPr>
          <w:p w14:paraId="2547516E" w14:textId="77777777" w:rsidR="00C24BA0" w:rsidRDefault="00C24BA0">
            <w:r>
              <w:t>Data breaches, ransomware, regulatory sanctions.</w:t>
            </w:r>
          </w:p>
        </w:tc>
      </w:tr>
      <w:tr w:rsidR="00C24BA0" w14:paraId="7C32407D" w14:textId="77777777" w:rsidTr="00C24BA0">
        <w:trPr>
          <w:tblCellSpacing w:w="15" w:type="dxa"/>
        </w:trPr>
        <w:tc>
          <w:tcPr>
            <w:tcW w:w="0" w:type="auto"/>
            <w:vAlign w:val="center"/>
            <w:hideMark/>
          </w:tcPr>
          <w:p w14:paraId="296E0D75" w14:textId="77777777" w:rsidR="00C24BA0" w:rsidRDefault="00C24BA0">
            <w:r>
              <w:rPr>
                <w:rStyle w:val="Strong"/>
              </w:rPr>
              <w:lastRenderedPageBreak/>
              <w:t>Compliance &amp; Regulatory Risk</w:t>
            </w:r>
          </w:p>
        </w:tc>
        <w:tc>
          <w:tcPr>
            <w:tcW w:w="0" w:type="auto"/>
            <w:vAlign w:val="center"/>
            <w:hideMark/>
          </w:tcPr>
          <w:p w14:paraId="7E0710B3" w14:textId="77777777" w:rsidR="00C24BA0" w:rsidRDefault="00C24BA0">
            <w:r>
              <w:t>Risk of legal or regulatory sanctions due to non-compliance with laws, regulations, or internal policies.</w:t>
            </w:r>
          </w:p>
        </w:tc>
        <w:tc>
          <w:tcPr>
            <w:tcW w:w="0" w:type="auto"/>
            <w:vAlign w:val="center"/>
            <w:hideMark/>
          </w:tcPr>
          <w:p w14:paraId="7018A301" w14:textId="77777777" w:rsidR="00C24BA0" w:rsidRDefault="00C24BA0">
            <w:r>
              <w:t>License impact, monetary penalties, supervisory scrutiny.</w:t>
            </w:r>
          </w:p>
        </w:tc>
      </w:tr>
    </w:tbl>
    <w:p w14:paraId="2EE1079A" w14:textId="77777777" w:rsidR="00C24BA0" w:rsidRDefault="00C24BA0" w:rsidP="00C24BA0">
      <w:pPr>
        <w:pStyle w:val="NormalWeb"/>
      </w:pPr>
      <w:r>
        <w:t>Each risk is linked to specific controls which are classified by type (preventive, detective, corrective) and mapped to processes within the control inventory.</w:t>
      </w:r>
    </w:p>
    <w:p w14:paraId="09ED7318" w14:textId="77777777" w:rsidR="00C24BA0" w:rsidRDefault="00C24BA0" w:rsidP="00C24BA0">
      <w:r>
        <w:pict w14:anchorId="7EE4CD52">
          <v:rect id="_x0000_i1043" style="width:0;height:1.5pt" o:hralign="center" o:hrstd="t" o:hr="t" fillcolor="#a0a0a0" stroked="f"/>
        </w:pict>
      </w:r>
    </w:p>
    <w:p w14:paraId="75651284" w14:textId="77777777" w:rsidR="00C24BA0" w:rsidRDefault="00C24BA0" w:rsidP="00C24BA0">
      <w:pPr>
        <w:pStyle w:val="Heading3"/>
      </w:pPr>
      <w:r>
        <w:t>3.2 Risk Appetite &amp; Tolerance Levels</w:t>
      </w:r>
    </w:p>
    <w:p w14:paraId="41845800" w14:textId="77777777" w:rsidR="00C24BA0" w:rsidRDefault="00C24BA0" w:rsidP="00C24BA0">
      <w:pPr>
        <w:pStyle w:val="NormalWeb"/>
      </w:pPr>
      <w:r>
        <w:t xml:space="preserve">RBEYOND’s </w:t>
      </w:r>
      <w:r>
        <w:rPr>
          <w:rStyle w:val="Strong"/>
        </w:rPr>
        <w:t>Board of Directors</w:t>
      </w:r>
      <w:r>
        <w:t xml:space="preserve">, in consultation with the </w:t>
      </w:r>
      <w:r>
        <w:rPr>
          <w:rStyle w:val="Strong"/>
        </w:rPr>
        <w:t>Risk Management Committee (RMC)</w:t>
      </w:r>
      <w:r>
        <w:t xml:space="preserve">, defines the institution’s </w:t>
      </w:r>
      <w:r>
        <w:rPr>
          <w:rStyle w:val="Strong"/>
        </w:rPr>
        <w:t>Risk Appetite Statement (RAS)</w:t>
      </w:r>
      <w:r>
        <w:t xml:space="preserve"> annually. This statement outlines the maximum level of risk the company is willing to accept across key categories, supported by thresholds and triggers for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1399"/>
        <w:gridCol w:w="6082"/>
      </w:tblGrid>
      <w:tr w:rsidR="00C24BA0" w14:paraId="7BB76856" w14:textId="77777777" w:rsidTr="00C24BA0">
        <w:trPr>
          <w:tblHeader/>
          <w:tblCellSpacing w:w="15" w:type="dxa"/>
        </w:trPr>
        <w:tc>
          <w:tcPr>
            <w:tcW w:w="0" w:type="auto"/>
            <w:vAlign w:val="center"/>
            <w:hideMark/>
          </w:tcPr>
          <w:p w14:paraId="0D30D032" w14:textId="77777777" w:rsidR="00C24BA0" w:rsidRDefault="00C24BA0">
            <w:pPr>
              <w:jc w:val="center"/>
              <w:rPr>
                <w:b/>
                <w:bCs/>
              </w:rPr>
            </w:pPr>
            <w:r>
              <w:rPr>
                <w:b/>
                <w:bCs/>
              </w:rPr>
              <w:t>Risk Category</w:t>
            </w:r>
          </w:p>
        </w:tc>
        <w:tc>
          <w:tcPr>
            <w:tcW w:w="0" w:type="auto"/>
            <w:vAlign w:val="center"/>
            <w:hideMark/>
          </w:tcPr>
          <w:p w14:paraId="24AFB9A0" w14:textId="77777777" w:rsidR="00C24BA0" w:rsidRDefault="00C24BA0">
            <w:pPr>
              <w:jc w:val="center"/>
              <w:rPr>
                <w:b/>
                <w:bCs/>
              </w:rPr>
            </w:pPr>
            <w:r>
              <w:rPr>
                <w:b/>
                <w:bCs/>
              </w:rPr>
              <w:t>Appetite Level</w:t>
            </w:r>
          </w:p>
        </w:tc>
        <w:tc>
          <w:tcPr>
            <w:tcW w:w="0" w:type="auto"/>
            <w:vAlign w:val="center"/>
            <w:hideMark/>
          </w:tcPr>
          <w:p w14:paraId="0470F017" w14:textId="77777777" w:rsidR="00C24BA0" w:rsidRDefault="00C24BA0">
            <w:pPr>
              <w:jc w:val="center"/>
              <w:rPr>
                <w:b/>
                <w:bCs/>
              </w:rPr>
            </w:pPr>
            <w:r>
              <w:rPr>
                <w:b/>
                <w:bCs/>
              </w:rPr>
              <w:t>Tolerance Threshold</w:t>
            </w:r>
          </w:p>
        </w:tc>
      </w:tr>
      <w:tr w:rsidR="00C24BA0" w14:paraId="55204AA0" w14:textId="77777777" w:rsidTr="00C24BA0">
        <w:trPr>
          <w:tblCellSpacing w:w="15" w:type="dxa"/>
        </w:trPr>
        <w:tc>
          <w:tcPr>
            <w:tcW w:w="0" w:type="auto"/>
            <w:vAlign w:val="center"/>
            <w:hideMark/>
          </w:tcPr>
          <w:p w14:paraId="462A9E1B" w14:textId="77777777" w:rsidR="00C24BA0" w:rsidRDefault="00C24BA0">
            <w:r>
              <w:t>Credit Risk</w:t>
            </w:r>
          </w:p>
        </w:tc>
        <w:tc>
          <w:tcPr>
            <w:tcW w:w="0" w:type="auto"/>
            <w:vAlign w:val="center"/>
            <w:hideMark/>
          </w:tcPr>
          <w:p w14:paraId="6C005D2E" w14:textId="77777777" w:rsidR="00C24BA0" w:rsidRDefault="00C24BA0">
            <w:r>
              <w:t>Moderate</w:t>
            </w:r>
          </w:p>
        </w:tc>
        <w:tc>
          <w:tcPr>
            <w:tcW w:w="0" w:type="auto"/>
            <w:vAlign w:val="center"/>
            <w:hideMark/>
          </w:tcPr>
          <w:p w14:paraId="650392B6" w14:textId="77777777" w:rsidR="00C24BA0" w:rsidRDefault="00C24BA0">
            <w:r>
              <w:t>Gross NPA ratio &lt; 3.5%</w:t>
            </w:r>
          </w:p>
        </w:tc>
      </w:tr>
      <w:tr w:rsidR="00C24BA0" w14:paraId="0B86EF9A" w14:textId="77777777" w:rsidTr="00C24BA0">
        <w:trPr>
          <w:tblCellSpacing w:w="15" w:type="dxa"/>
        </w:trPr>
        <w:tc>
          <w:tcPr>
            <w:tcW w:w="0" w:type="auto"/>
            <w:vAlign w:val="center"/>
            <w:hideMark/>
          </w:tcPr>
          <w:p w14:paraId="52DBB54A" w14:textId="77777777" w:rsidR="00C24BA0" w:rsidRDefault="00C24BA0">
            <w:r>
              <w:t>Market Risk</w:t>
            </w:r>
          </w:p>
        </w:tc>
        <w:tc>
          <w:tcPr>
            <w:tcW w:w="0" w:type="auto"/>
            <w:vAlign w:val="center"/>
            <w:hideMark/>
          </w:tcPr>
          <w:p w14:paraId="51C6B791" w14:textId="77777777" w:rsidR="00C24BA0" w:rsidRDefault="00C24BA0">
            <w:r>
              <w:t>Low</w:t>
            </w:r>
          </w:p>
        </w:tc>
        <w:tc>
          <w:tcPr>
            <w:tcW w:w="0" w:type="auto"/>
            <w:vAlign w:val="center"/>
            <w:hideMark/>
          </w:tcPr>
          <w:p w14:paraId="4F7D0DCA" w14:textId="77777777" w:rsidR="00C24BA0" w:rsidRDefault="00C24BA0">
            <w:proofErr w:type="spellStart"/>
            <w:r>
              <w:t>VaR</w:t>
            </w:r>
            <w:proofErr w:type="spellEnd"/>
            <w:r>
              <w:t xml:space="preserve"> &lt; 1.5% of capital for trading book</w:t>
            </w:r>
          </w:p>
        </w:tc>
      </w:tr>
      <w:tr w:rsidR="00C24BA0" w14:paraId="5A103F5C" w14:textId="77777777" w:rsidTr="00C24BA0">
        <w:trPr>
          <w:tblCellSpacing w:w="15" w:type="dxa"/>
        </w:trPr>
        <w:tc>
          <w:tcPr>
            <w:tcW w:w="0" w:type="auto"/>
            <w:vAlign w:val="center"/>
            <w:hideMark/>
          </w:tcPr>
          <w:p w14:paraId="52A2AC07" w14:textId="77777777" w:rsidR="00C24BA0" w:rsidRDefault="00C24BA0">
            <w:r>
              <w:t>Operational Risk</w:t>
            </w:r>
          </w:p>
        </w:tc>
        <w:tc>
          <w:tcPr>
            <w:tcW w:w="0" w:type="auto"/>
            <w:vAlign w:val="center"/>
            <w:hideMark/>
          </w:tcPr>
          <w:p w14:paraId="45AE7484" w14:textId="77777777" w:rsidR="00C24BA0" w:rsidRDefault="00C24BA0">
            <w:r>
              <w:t>Low</w:t>
            </w:r>
          </w:p>
        </w:tc>
        <w:tc>
          <w:tcPr>
            <w:tcW w:w="0" w:type="auto"/>
            <w:vAlign w:val="center"/>
            <w:hideMark/>
          </w:tcPr>
          <w:p w14:paraId="50B8BBFA" w14:textId="77777777" w:rsidR="00C24BA0" w:rsidRDefault="00C24BA0">
            <w:r>
              <w:t>Zero tolerance for system-wide outages or regulatory breaches</w:t>
            </w:r>
          </w:p>
        </w:tc>
      </w:tr>
      <w:tr w:rsidR="00C24BA0" w14:paraId="3851E932" w14:textId="77777777" w:rsidTr="00C24BA0">
        <w:trPr>
          <w:tblCellSpacing w:w="15" w:type="dxa"/>
        </w:trPr>
        <w:tc>
          <w:tcPr>
            <w:tcW w:w="0" w:type="auto"/>
            <w:vAlign w:val="center"/>
            <w:hideMark/>
          </w:tcPr>
          <w:p w14:paraId="3C5B8896" w14:textId="77777777" w:rsidR="00C24BA0" w:rsidRDefault="00C24BA0">
            <w:r>
              <w:t>Liquidity Risk</w:t>
            </w:r>
          </w:p>
        </w:tc>
        <w:tc>
          <w:tcPr>
            <w:tcW w:w="0" w:type="auto"/>
            <w:vAlign w:val="center"/>
            <w:hideMark/>
          </w:tcPr>
          <w:p w14:paraId="1E93A601" w14:textId="77777777" w:rsidR="00C24BA0" w:rsidRDefault="00C24BA0">
            <w:r>
              <w:t>Low</w:t>
            </w:r>
          </w:p>
        </w:tc>
        <w:tc>
          <w:tcPr>
            <w:tcW w:w="0" w:type="auto"/>
            <w:vAlign w:val="center"/>
            <w:hideMark/>
          </w:tcPr>
          <w:p w14:paraId="21544118" w14:textId="77777777" w:rsidR="00C24BA0" w:rsidRDefault="00C24BA0">
            <w:r>
              <w:t>LCR &gt; 110%, NSFR &gt; 105%</w:t>
            </w:r>
          </w:p>
        </w:tc>
      </w:tr>
      <w:tr w:rsidR="00C24BA0" w14:paraId="7F46CE84" w14:textId="77777777" w:rsidTr="00C24BA0">
        <w:trPr>
          <w:tblCellSpacing w:w="15" w:type="dxa"/>
        </w:trPr>
        <w:tc>
          <w:tcPr>
            <w:tcW w:w="0" w:type="auto"/>
            <w:vAlign w:val="center"/>
            <w:hideMark/>
          </w:tcPr>
          <w:p w14:paraId="396BF4D6" w14:textId="77777777" w:rsidR="00C24BA0" w:rsidRDefault="00C24BA0">
            <w:r>
              <w:t>Fraud Risk</w:t>
            </w:r>
          </w:p>
        </w:tc>
        <w:tc>
          <w:tcPr>
            <w:tcW w:w="0" w:type="auto"/>
            <w:vAlign w:val="center"/>
            <w:hideMark/>
          </w:tcPr>
          <w:p w14:paraId="7D9C8F21" w14:textId="77777777" w:rsidR="00C24BA0" w:rsidRDefault="00C24BA0">
            <w:r>
              <w:t>Very Low</w:t>
            </w:r>
          </w:p>
        </w:tc>
        <w:tc>
          <w:tcPr>
            <w:tcW w:w="0" w:type="auto"/>
            <w:vAlign w:val="center"/>
            <w:hideMark/>
          </w:tcPr>
          <w:p w14:paraId="7A2BD993" w14:textId="77777777" w:rsidR="00C24BA0" w:rsidRDefault="00C24BA0">
            <w:r>
              <w:t>Fraud-to-Transaction ratio &lt; 0.05%</w:t>
            </w:r>
          </w:p>
        </w:tc>
      </w:tr>
      <w:tr w:rsidR="00C24BA0" w14:paraId="084556F7" w14:textId="77777777" w:rsidTr="00C24BA0">
        <w:trPr>
          <w:tblCellSpacing w:w="15" w:type="dxa"/>
        </w:trPr>
        <w:tc>
          <w:tcPr>
            <w:tcW w:w="0" w:type="auto"/>
            <w:vAlign w:val="center"/>
            <w:hideMark/>
          </w:tcPr>
          <w:p w14:paraId="5A6D905E" w14:textId="77777777" w:rsidR="00C24BA0" w:rsidRDefault="00C24BA0">
            <w:r>
              <w:t>Cyber Risk</w:t>
            </w:r>
          </w:p>
        </w:tc>
        <w:tc>
          <w:tcPr>
            <w:tcW w:w="0" w:type="auto"/>
            <w:vAlign w:val="center"/>
            <w:hideMark/>
          </w:tcPr>
          <w:p w14:paraId="38484E13" w14:textId="77777777" w:rsidR="00C24BA0" w:rsidRDefault="00C24BA0">
            <w:r>
              <w:t>Very Low</w:t>
            </w:r>
          </w:p>
        </w:tc>
        <w:tc>
          <w:tcPr>
            <w:tcW w:w="0" w:type="auto"/>
            <w:vAlign w:val="center"/>
            <w:hideMark/>
          </w:tcPr>
          <w:p w14:paraId="48E80645" w14:textId="77777777" w:rsidR="00C24BA0" w:rsidRDefault="00C24BA0">
            <w:r>
              <w:t>Zero tolerance for data loss, &gt;99.9% system uptime</w:t>
            </w:r>
          </w:p>
        </w:tc>
      </w:tr>
      <w:tr w:rsidR="00C24BA0" w14:paraId="1C8CF4FE" w14:textId="77777777" w:rsidTr="00C24BA0">
        <w:trPr>
          <w:tblCellSpacing w:w="15" w:type="dxa"/>
        </w:trPr>
        <w:tc>
          <w:tcPr>
            <w:tcW w:w="0" w:type="auto"/>
            <w:vAlign w:val="center"/>
            <w:hideMark/>
          </w:tcPr>
          <w:p w14:paraId="672609A9" w14:textId="77777777" w:rsidR="00C24BA0" w:rsidRDefault="00C24BA0">
            <w:r>
              <w:t>Compliance Risk</w:t>
            </w:r>
          </w:p>
        </w:tc>
        <w:tc>
          <w:tcPr>
            <w:tcW w:w="0" w:type="auto"/>
            <w:vAlign w:val="center"/>
            <w:hideMark/>
          </w:tcPr>
          <w:p w14:paraId="394D809F" w14:textId="77777777" w:rsidR="00C24BA0" w:rsidRDefault="00C24BA0">
            <w:r>
              <w:t>Zero Tolerance</w:t>
            </w:r>
          </w:p>
        </w:tc>
        <w:tc>
          <w:tcPr>
            <w:tcW w:w="0" w:type="auto"/>
            <w:vAlign w:val="center"/>
            <w:hideMark/>
          </w:tcPr>
          <w:p w14:paraId="6D4C20A3" w14:textId="77777777" w:rsidR="00C24BA0" w:rsidRDefault="00C24BA0">
            <w:r>
              <w:t>All critical controls must be fully effective (100% compliance rating)</w:t>
            </w:r>
          </w:p>
        </w:tc>
      </w:tr>
    </w:tbl>
    <w:p w14:paraId="669F7DC7" w14:textId="77777777" w:rsidR="00C24BA0" w:rsidRDefault="00C24BA0" w:rsidP="00C24BA0">
      <w:pPr>
        <w:pStyle w:val="NormalWeb"/>
      </w:pPr>
      <w:r>
        <w:t>These thresholds guide management responses, control intensification, and incident escalation. Breaches of risk tolerance require documented root cause analysis and board-level reporting.</w:t>
      </w:r>
    </w:p>
    <w:p w14:paraId="0FA91C67" w14:textId="77777777" w:rsidR="00C24BA0" w:rsidRDefault="00C24BA0" w:rsidP="00C24BA0">
      <w:r>
        <w:pict w14:anchorId="2AA5C790">
          <v:rect id="_x0000_i1044" style="width:0;height:1.5pt" o:hralign="center" o:hrstd="t" o:hr="t" fillcolor="#a0a0a0" stroked="f"/>
        </w:pict>
      </w:r>
    </w:p>
    <w:p w14:paraId="65B35E7A" w14:textId="77777777" w:rsidR="00C24BA0" w:rsidRDefault="00C24BA0" w:rsidP="00C24BA0">
      <w:pPr>
        <w:pStyle w:val="Heading3"/>
      </w:pPr>
      <w:r>
        <w:t>3.3 Control Frameworks Adopted</w:t>
      </w:r>
    </w:p>
    <w:p w14:paraId="2D3C5DF7" w14:textId="77777777" w:rsidR="00C24BA0" w:rsidRDefault="00C24BA0" w:rsidP="00C24BA0">
      <w:pPr>
        <w:pStyle w:val="NormalWeb"/>
      </w:pPr>
      <w:r>
        <w:t xml:space="preserve">To ensure its internal control system is aligned with global best practices, RBEYOND adheres to the following </w:t>
      </w:r>
      <w:r>
        <w:rPr>
          <w:rStyle w:val="Strong"/>
        </w:rPr>
        <w:t>industry-standard control frameworks</w:t>
      </w:r>
      <w:r>
        <w:t xml:space="preserve"> across its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gridCol w:w="2161"/>
        <w:gridCol w:w="4369"/>
      </w:tblGrid>
      <w:tr w:rsidR="00C24BA0" w14:paraId="4A08878C" w14:textId="77777777" w:rsidTr="00C24BA0">
        <w:trPr>
          <w:tblHeader/>
          <w:tblCellSpacing w:w="15" w:type="dxa"/>
        </w:trPr>
        <w:tc>
          <w:tcPr>
            <w:tcW w:w="0" w:type="auto"/>
            <w:vAlign w:val="center"/>
            <w:hideMark/>
          </w:tcPr>
          <w:p w14:paraId="7FED98EE" w14:textId="77777777" w:rsidR="00C24BA0" w:rsidRDefault="00C24BA0">
            <w:pPr>
              <w:jc w:val="center"/>
              <w:rPr>
                <w:b/>
                <w:bCs/>
              </w:rPr>
            </w:pPr>
            <w:r>
              <w:rPr>
                <w:b/>
                <w:bCs/>
              </w:rPr>
              <w:lastRenderedPageBreak/>
              <w:t>Framework</w:t>
            </w:r>
          </w:p>
        </w:tc>
        <w:tc>
          <w:tcPr>
            <w:tcW w:w="0" w:type="auto"/>
            <w:vAlign w:val="center"/>
            <w:hideMark/>
          </w:tcPr>
          <w:p w14:paraId="5910D83F" w14:textId="77777777" w:rsidR="00C24BA0" w:rsidRDefault="00C24BA0">
            <w:pPr>
              <w:jc w:val="center"/>
              <w:rPr>
                <w:b/>
                <w:bCs/>
              </w:rPr>
            </w:pPr>
            <w:r>
              <w:rPr>
                <w:b/>
                <w:bCs/>
              </w:rPr>
              <w:t>Domain</w:t>
            </w:r>
          </w:p>
        </w:tc>
        <w:tc>
          <w:tcPr>
            <w:tcW w:w="0" w:type="auto"/>
            <w:vAlign w:val="center"/>
            <w:hideMark/>
          </w:tcPr>
          <w:p w14:paraId="7644D767" w14:textId="77777777" w:rsidR="00C24BA0" w:rsidRDefault="00C24BA0">
            <w:pPr>
              <w:jc w:val="center"/>
              <w:rPr>
                <w:b/>
                <w:bCs/>
              </w:rPr>
            </w:pPr>
            <w:r>
              <w:rPr>
                <w:b/>
                <w:bCs/>
              </w:rPr>
              <w:t>Purpose of Adoption</w:t>
            </w:r>
          </w:p>
        </w:tc>
      </w:tr>
      <w:tr w:rsidR="00C24BA0" w14:paraId="034995CA" w14:textId="77777777" w:rsidTr="00C24BA0">
        <w:trPr>
          <w:tblCellSpacing w:w="15" w:type="dxa"/>
        </w:trPr>
        <w:tc>
          <w:tcPr>
            <w:tcW w:w="0" w:type="auto"/>
            <w:vAlign w:val="center"/>
            <w:hideMark/>
          </w:tcPr>
          <w:p w14:paraId="4444ECE3" w14:textId="77777777" w:rsidR="00C24BA0" w:rsidRDefault="00C24BA0">
            <w:r>
              <w:rPr>
                <w:rStyle w:val="Strong"/>
              </w:rPr>
              <w:t>COSO – Internal Control – Integrated Framework</w:t>
            </w:r>
          </w:p>
        </w:tc>
        <w:tc>
          <w:tcPr>
            <w:tcW w:w="0" w:type="auto"/>
            <w:vAlign w:val="center"/>
            <w:hideMark/>
          </w:tcPr>
          <w:p w14:paraId="234090F1" w14:textId="77777777" w:rsidR="00C24BA0" w:rsidRDefault="00C24BA0">
            <w:r>
              <w:t>Enterprise-wide risk &amp; control design</w:t>
            </w:r>
          </w:p>
        </w:tc>
        <w:tc>
          <w:tcPr>
            <w:tcW w:w="0" w:type="auto"/>
            <w:vAlign w:val="center"/>
            <w:hideMark/>
          </w:tcPr>
          <w:p w14:paraId="7F05242C" w14:textId="77777777" w:rsidR="00C24BA0" w:rsidRDefault="00C24BA0">
            <w:r>
              <w:t>Provides a principles-based approach to define, assess, and monitor internal controls aligned with objectives across operations, reporting, and compliance.</w:t>
            </w:r>
          </w:p>
        </w:tc>
      </w:tr>
      <w:tr w:rsidR="00C24BA0" w14:paraId="57581EDA" w14:textId="77777777" w:rsidTr="00C24BA0">
        <w:trPr>
          <w:tblCellSpacing w:w="15" w:type="dxa"/>
        </w:trPr>
        <w:tc>
          <w:tcPr>
            <w:tcW w:w="0" w:type="auto"/>
            <w:vAlign w:val="center"/>
            <w:hideMark/>
          </w:tcPr>
          <w:p w14:paraId="390405C7" w14:textId="77777777" w:rsidR="00C24BA0" w:rsidRDefault="00C24BA0">
            <w:r>
              <w:rPr>
                <w:rStyle w:val="Strong"/>
              </w:rPr>
              <w:t>COBIT (Control Objectives for Information and Related Technologies)</w:t>
            </w:r>
          </w:p>
        </w:tc>
        <w:tc>
          <w:tcPr>
            <w:tcW w:w="0" w:type="auto"/>
            <w:vAlign w:val="center"/>
            <w:hideMark/>
          </w:tcPr>
          <w:p w14:paraId="6A5E8141" w14:textId="77777777" w:rsidR="00C24BA0" w:rsidRDefault="00C24BA0">
            <w:r>
              <w:t>IT governance, information systems, and process controls</w:t>
            </w:r>
          </w:p>
        </w:tc>
        <w:tc>
          <w:tcPr>
            <w:tcW w:w="0" w:type="auto"/>
            <w:vAlign w:val="center"/>
            <w:hideMark/>
          </w:tcPr>
          <w:p w14:paraId="469182EA" w14:textId="77777777" w:rsidR="00C24BA0" w:rsidRDefault="00C24BA0">
            <w:r>
              <w:t>Helps manage IT-related risks, ensures alignment between IT and business goals, and establishes effective control over digital platforms.</w:t>
            </w:r>
          </w:p>
        </w:tc>
      </w:tr>
      <w:tr w:rsidR="00C24BA0" w14:paraId="337A6557" w14:textId="77777777" w:rsidTr="00C24BA0">
        <w:trPr>
          <w:tblCellSpacing w:w="15" w:type="dxa"/>
        </w:trPr>
        <w:tc>
          <w:tcPr>
            <w:tcW w:w="0" w:type="auto"/>
            <w:vAlign w:val="center"/>
            <w:hideMark/>
          </w:tcPr>
          <w:p w14:paraId="6AA474D9" w14:textId="77777777" w:rsidR="00C24BA0" w:rsidRDefault="00C24BA0">
            <w:r>
              <w:rPr>
                <w:rStyle w:val="Strong"/>
              </w:rPr>
              <w:t>ISO/IEC 27001:2022</w:t>
            </w:r>
          </w:p>
        </w:tc>
        <w:tc>
          <w:tcPr>
            <w:tcW w:w="0" w:type="auto"/>
            <w:vAlign w:val="center"/>
            <w:hideMark/>
          </w:tcPr>
          <w:p w14:paraId="42239900" w14:textId="77777777" w:rsidR="00C24BA0" w:rsidRDefault="00C24BA0">
            <w:r>
              <w:t>Information security &amp; data governance</w:t>
            </w:r>
          </w:p>
        </w:tc>
        <w:tc>
          <w:tcPr>
            <w:tcW w:w="0" w:type="auto"/>
            <w:vAlign w:val="center"/>
            <w:hideMark/>
          </w:tcPr>
          <w:p w14:paraId="6AB16B9D" w14:textId="77777777" w:rsidR="00C24BA0" w:rsidRDefault="00C24BA0">
            <w:r>
              <w:t>Ensures implementation of an Information Security Management System (ISMS), including data access control, incident response, and ongoing audit.</w:t>
            </w:r>
          </w:p>
        </w:tc>
      </w:tr>
      <w:tr w:rsidR="00C24BA0" w14:paraId="34FD1904" w14:textId="77777777" w:rsidTr="00C24BA0">
        <w:trPr>
          <w:tblCellSpacing w:w="15" w:type="dxa"/>
        </w:trPr>
        <w:tc>
          <w:tcPr>
            <w:tcW w:w="0" w:type="auto"/>
            <w:vAlign w:val="center"/>
            <w:hideMark/>
          </w:tcPr>
          <w:p w14:paraId="798E8561" w14:textId="77777777" w:rsidR="00C24BA0" w:rsidRDefault="00C24BA0">
            <w:r>
              <w:rPr>
                <w:rStyle w:val="Strong"/>
              </w:rPr>
              <w:t>RBI IT Framework for NBFCs &amp; Banks</w:t>
            </w:r>
          </w:p>
        </w:tc>
        <w:tc>
          <w:tcPr>
            <w:tcW w:w="0" w:type="auto"/>
            <w:vAlign w:val="center"/>
            <w:hideMark/>
          </w:tcPr>
          <w:p w14:paraId="6B9FE514" w14:textId="77777777" w:rsidR="00C24BA0" w:rsidRDefault="00C24BA0">
            <w:r>
              <w:t>Regulatory compliance (India)</w:t>
            </w:r>
          </w:p>
        </w:tc>
        <w:tc>
          <w:tcPr>
            <w:tcW w:w="0" w:type="auto"/>
            <w:vAlign w:val="center"/>
            <w:hideMark/>
          </w:tcPr>
          <w:p w14:paraId="7024206E" w14:textId="77777777" w:rsidR="00C24BA0" w:rsidRDefault="00C24BA0">
            <w:r>
              <w:t>Guides technology risk governance, data localization, cybersecurity resilience, and internal audit in regulated financial institutions.</w:t>
            </w:r>
          </w:p>
        </w:tc>
      </w:tr>
      <w:tr w:rsidR="00C24BA0" w14:paraId="30762DB1" w14:textId="77777777" w:rsidTr="00C24BA0">
        <w:trPr>
          <w:tblCellSpacing w:w="15" w:type="dxa"/>
        </w:trPr>
        <w:tc>
          <w:tcPr>
            <w:tcW w:w="0" w:type="auto"/>
            <w:vAlign w:val="center"/>
            <w:hideMark/>
          </w:tcPr>
          <w:p w14:paraId="6CB58E6F" w14:textId="77777777" w:rsidR="00C24BA0" w:rsidRDefault="00C24BA0">
            <w:r>
              <w:rPr>
                <w:rStyle w:val="Strong"/>
              </w:rPr>
              <w:t>Basel III Operational Risk Framework (ORF)</w:t>
            </w:r>
          </w:p>
        </w:tc>
        <w:tc>
          <w:tcPr>
            <w:tcW w:w="0" w:type="auto"/>
            <w:vAlign w:val="center"/>
            <w:hideMark/>
          </w:tcPr>
          <w:p w14:paraId="0C262C51" w14:textId="77777777" w:rsidR="00C24BA0" w:rsidRDefault="00C24BA0">
            <w:r>
              <w:t>Capital and risk management</w:t>
            </w:r>
          </w:p>
        </w:tc>
        <w:tc>
          <w:tcPr>
            <w:tcW w:w="0" w:type="auto"/>
            <w:vAlign w:val="center"/>
            <w:hideMark/>
          </w:tcPr>
          <w:p w14:paraId="2F7ED9CC" w14:textId="77777777" w:rsidR="00C24BA0" w:rsidRDefault="00C24BA0">
            <w:r>
              <w:t>Applies standardized and advanced measurement approaches to operational risk and provides guidance for loss event data classification.</w:t>
            </w:r>
          </w:p>
        </w:tc>
      </w:tr>
    </w:tbl>
    <w:p w14:paraId="40C3BD30" w14:textId="77777777" w:rsidR="00C24BA0" w:rsidRDefault="00C24BA0" w:rsidP="00C24BA0">
      <w:pPr>
        <w:pStyle w:val="NormalWeb"/>
      </w:pPr>
      <w:r>
        <w:t xml:space="preserve">All control activities within this document are either </w:t>
      </w:r>
      <w:r>
        <w:rPr>
          <w:rStyle w:val="Strong"/>
        </w:rPr>
        <w:t>fully or partially mapped to one or more of the above frameworks</w:t>
      </w:r>
      <w:r>
        <w:t>, ensuring audit traceability, design robustness, and regulatory alignment.</w:t>
      </w:r>
    </w:p>
    <w:p w14:paraId="303DA4C5" w14:textId="36D56F6B" w:rsidR="00C24BA0" w:rsidRDefault="00C24BA0" w:rsidP="00C24BA0">
      <w:pPr>
        <w:pStyle w:val="NormalWeb"/>
      </w:pPr>
      <w:r>
        <w:t xml:space="preserve">The internal control environment is periodically reviewed by the </w:t>
      </w:r>
      <w:r>
        <w:rPr>
          <w:rStyle w:val="Strong"/>
        </w:rPr>
        <w:t>Internal Audit Function</w:t>
      </w:r>
      <w:r>
        <w:t>, and enhancements are recommended based on test results, incident analysis, and evolving regulatory mandates.</w:t>
      </w:r>
    </w:p>
    <w:p w14:paraId="6A1DDF12" w14:textId="77777777" w:rsidR="00C24BA0" w:rsidRDefault="00C24BA0" w:rsidP="00C24BA0">
      <w:pPr>
        <w:pStyle w:val="Heading2"/>
      </w:pPr>
      <w:r>
        <w:t>4. Detailed Control Activities</w:t>
      </w:r>
    </w:p>
    <w:p w14:paraId="1703A170" w14:textId="77777777" w:rsidR="00C24BA0" w:rsidRDefault="00C24BA0" w:rsidP="00C24BA0">
      <w:pPr>
        <w:pStyle w:val="NormalWeb"/>
      </w:pPr>
      <w:r>
        <w:t xml:space="preserve">This section outlines RBEYOND’s </w:t>
      </w:r>
      <w:r>
        <w:rPr>
          <w:rStyle w:val="Strong"/>
        </w:rPr>
        <w:t>key internal control activities</w:t>
      </w:r>
      <w:r>
        <w:t xml:space="preserve">, categorized into </w:t>
      </w:r>
      <w:r>
        <w:rPr>
          <w:rStyle w:val="Strong"/>
        </w:rPr>
        <w:t>financial, operational, and compliance</w:t>
      </w:r>
      <w:r>
        <w:t xml:space="preserve"> domains. Controls are classified as </w:t>
      </w:r>
      <w:r>
        <w:rPr>
          <w:rStyle w:val="Strong"/>
        </w:rPr>
        <w:t>preventive, detective, or corrective</w:t>
      </w:r>
      <w:r>
        <w:t>, and mapped to associated risks, roles, and regulatory requirements. Each control is documented to ensure clear accountability and traceability.</w:t>
      </w:r>
    </w:p>
    <w:p w14:paraId="01550EBF" w14:textId="77777777" w:rsidR="00C24BA0" w:rsidRDefault="00C24BA0" w:rsidP="00C24BA0">
      <w:r>
        <w:pict w14:anchorId="59BD2BE2">
          <v:rect id="_x0000_i1047" style="width:0;height:1.5pt" o:hralign="center" o:hrstd="t" o:hr="t" fillcolor="#a0a0a0" stroked="f"/>
        </w:pict>
      </w:r>
    </w:p>
    <w:p w14:paraId="37236CAF" w14:textId="77777777" w:rsidR="00C24BA0" w:rsidRDefault="00C24BA0" w:rsidP="00C24BA0">
      <w:pPr>
        <w:pStyle w:val="Heading3"/>
      </w:pPr>
      <w:r>
        <w:t>4.1 Financial Controls</w:t>
      </w:r>
    </w:p>
    <w:p w14:paraId="650D515C" w14:textId="77777777" w:rsidR="00C24BA0" w:rsidRDefault="00C24BA0" w:rsidP="00C24BA0">
      <w:pPr>
        <w:pStyle w:val="Heading4"/>
      </w:pPr>
      <w:r>
        <w:t>4.1.1 Reconciliation Procedures</w:t>
      </w:r>
    </w:p>
    <w:p w14:paraId="4AF72F48" w14:textId="77777777" w:rsidR="00C24BA0" w:rsidRDefault="00C24BA0" w:rsidP="00C24BA0">
      <w:pPr>
        <w:pStyle w:val="NormalWeb"/>
        <w:numPr>
          <w:ilvl w:val="0"/>
          <w:numId w:val="15"/>
        </w:numPr>
      </w:pPr>
      <w:r>
        <w:rPr>
          <w:rStyle w:val="Strong"/>
        </w:rPr>
        <w:t>4.1.1.1 Bank Reconciliation</w:t>
      </w:r>
      <w:r>
        <w:br/>
        <w:t xml:space="preserve">All operational and settlement accounts are reconciled daily by the Finance team. </w:t>
      </w:r>
      <w:r>
        <w:lastRenderedPageBreak/>
        <w:t>Exceptions are flagged automatically and investigated within 24 hours. Reconciliation logs are digitally archived.</w:t>
      </w:r>
      <w:r>
        <w:br/>
      </w:r>
      <w:r>
        <w:rPr>
          <w:rStyle w:val="Emphasis"/>
          <w:rFonts w:eastAsiaTheme="majorEastAsia"/>
        </w:rPr>
        <w:t>Control Type:</w:t>
      </w:r>
      <w:r>
        <w:t xml:space="preserve"> Detective | </w:t>
      </w:r>
      <w:r>
        <w:rPr>
          <w:rStyle w:val="Emphasis"/>
          <w:rFonts w:eastAsiaTheme="majorEastAsia"/>
        </w:rPr>
        <w:t>Frequency:</w:t>
      </w:r>
      <w:r>
        <w:t xml:space="preserve"> Daily | </w:t>
      </w:r>
      <w:r>
        <w:rPr>
          <w:rStyle w:val="Emphasis"/>
          <w:rFonts w:eastAsiaTheme="majorEastAsia"/>
        </w:rPr>
        <w:t>Owner:</w:t>
      </w:r>
      <w:r>
        <w:t xml:space="preserve"> Finance Controller</w:t>
      </w:r>
    </w:p>
    <w:p w14:paraId="07DDB679" w14:textId="77777777" w:rsidR="00C24BA0" w:rsidRDefault="00C24BA0" w:rsidP="00C24BA0">
      <w:pPr>
        <w:pStyle w:val="NormalWeb"/>
        <w:numPr>
          <w:ilvl w:val="0"/>
          <w:numId w:val="15"/>
        </w:numPr>
      </w:pPr>
      <w:r>
        <w:rPr>
          <w:rStyle w:val="Strong"/>
        </w:rPr>
        <w:t>4.1.1.2 General Ledger (GL) Reconciliation</w:t>
      </w:r>
      <w:r>
        <w:br/>
        <w:t>All subsidiary ledgers (accounts receivable, payable, loans, etc.) are reconciled with the GL monthly. Unmatched entries are escalated.</w:t>
      </w:r>
      <w:r>
        <w:br/>
      </w:r>
      <w:r>
        <w:rPr>
          <w:rStyle w:val="Emphasis"/>
          <w:rFonts w:eastAsiaTheme="majorEastAsia"/>
        </w:rPr>
        <w:t>Control Type:</w:t>
      </w:r>
      <w:r>
        <w:t xml:space="preserve"> Detective | </w:t>
      </w:r>
      <w:r>
        <w:rPr>
          <w:rStyle w:val="Emphasis"/>
          <w:rFonts w:eastAsiaTheme="majorEastAsia"/>
        </w:rPr>
        <w:t>Frequency:</w:t>
      </w:r>
      <w:r>
        <w:t xml:space="preserve"> Monthly | </w:t>
      </w:r>
      <w:r>
        <w:rPr>
          <w:rStyle w:val="Emphasis"/>
          <w:rFonts w:eastAsiaTheme="majorEastAsia"/>
        </w:rPr>
        <w:t>Owner:</w:t>
      </w:r>
      <w:r>
        <w:t xml:space="preserve"> Financial Reporting Head</w:t>
      </w:r>
    </w:p>
    <w:p w14:paraId="5FAE0736" w14:textId="77777777" w:rsidR="00C24BA0" w:rsidRDefault="00C24BA0" w:rsidP="00C24BA0">
      <w:pPr>
        <w:pStyle w:val="NormalWeb"/>
        <w:numPr>
          <w:ilvl w:val="0"/>
          <w:numId w:val="15"/>
        </w:numPr>
      </w:pPr>
      <w:r>
        <w:rPr>
          <w:rStyle w:val="Strong"/>
        </w:rPr>
        <w:t>4.1.1.3 Intercompany Reconciliation</w:t>
      </w:r>
      <w:r>
        <w:br/>
        <w:t>Intercompany balances are reconciled quarterly. Any discrepancies require joint sign-off from both entities’ controllers and escalation to the CFO.</w:t>
      </w:r>
      <w:r>
        <w:br/>
      </w:r>
      <w:r>
        <w:rPr>
          <w:rStyle w:val="Emphasis"/>
          <w:rFonts w:eastAsiaTheme="majorEastAsia"/>
        </w:rPr>
        <w:t>Control Type:</w:t>
      </w:r>
      <w:r>
        <w:t xml:space="preserve"> Preventive/Detective | </w:t>
      </w:r>
      <w:r>
        <w:rPr>
          <w:rStyle w:val="Emphasis"/>
          <w:rFonts w:eastAsiaTheme="majorEastAsia"/>
        </w:rPr>
        <w:t>Frequency:</w:t>
      </w:r>
      <w:r>
        <w:t xml:space="preserve"> Quarterly | </w:t>
      </w:r>
      <w:r>
        <w:rPr>
          <w:rStyle w:val="Emphasis"/>
          <w:rFonts w:eastAsiaTheme="majorEastAsia"/>
        </w:rPr>
        <w:t>Owner:</w:t>
      </w:r>
      <w:r>
        <w:t xml:space="preserve"> Group Finance</w:t>
      </w:r>
    </w:p>
    <w:p w14:paraId="325798DB" w14:textId="77777777" w:rsidR="00C24BA0" w:rsidRDefault="00C24BA0" w:rsidP="00C24BA0">
      <w:r>
        <w:pict w14:anchorId="49497596">
          <v:rect id="_x0000_i1048" style="width:0;height:1.5pt" o:hralign="center" o:hrstd="t" o:hr="t" fillcolor="#a0a0a0" stroked="f"/>
        </w:pict>
      </w:r>
    </w:p>
    <w:p w14:paraId="658FD529" w14:textId="77777777" w:rsidR="00C24BA0" w:rsidRDefault="00C24BA0" w:rsidP="00C24BA0">
      <w:pPr>
        <w:pStyle w:val="Heading4"/>
      </w:pPr>
      <w:r>
        <w:t>4.1.2 Authorization Limits</w:t>
      </w:r>
    </w:p>
    <w:p w14:paraId="59F16A4C" w14:textId="77777777" w:rsidR="00C24BA0" w:rsidRDefault="00C24BA0" w:rsidP="00C24BA0">
      <w:pPr>
        <w:pStyle w:val="NormalWeb"/>
        <w:numPr>
          <w:ilvl w:val="0"/>
          <w:numId w:val="16"/>
        </w:numPr>
      </w:pPr>
      <w:r>
        <w:rPr>
          <w:rStyle w:val="Strong"/>
        </w:rPr>
        <w:t>4.1.2.1 Transaction Approval Matrix</w:t>
      </w:r>
      <w:r>
        <w:br/>
        <w:t>A centrally maintained matrix defines financial and operational approval thresholds by role and department. All exceptions require CFO approval and audit log.</w:t>
      </w:r>
      <w:r>
        <w:br/>
      </w:r>
      <w:r>
        <w:rPr>
          <w:rStyle w:val="Emphasis"/>
          <w:rFonts w:eastAsiaTheme="majorEastAsia"/>
        </w:rPr>
        <w:t>Control Type:</w:t>
      </w:r>
      <w:r>
        <w:t xml:space="preserve"> Preventive | </w:t>
      </w:r>
      <w:r>
        <w:rPr>
          <w:rStyle w:val="Emphasis"/>
          <w:rFonts w:eastAsiaTheme="majorEastAsia"/>
        </w:rPr>
        <w:t>Frequency:</w:t>
      </w:r>
      <w:r>
        <w:t xml:space="preserve"> Continuous | </w:t>
      </w:r>
      <w:r>
        <w:rPr>
          <w:rStyle w:val="Emphasis"/>
          <w:rFonts w:eastAsiaTheme="majorEastAsia"/>
        </w:rPr>
        <w:t>Owner:</w:t>
      </w:r>
      <w:r>
        <w:t xml:space="preserve"> Financial Controller</w:t>
      </w:r>
    </w:p>
    <w:p w14:paraId="1D87CEBC" w14:textId="77777777" w:rsidR="00C24BA0" w:rsidRDefault="00C24BA0" w:rsidP="00C24BA0">
      <w:pPr>
        <w:pStyle w:val="NormalWeb"/>
        <w:numPr>
          <w:ilvl w:val="0"/>
          <w:numId w:val="16"/>
        </w:numPr>
      </w:pPr>
      <w:r>
        <w:rPr>
          <w:rStyle w:val="Strong"/>
        </w:rPr>
        <w:t>4.1.2.2 Payment Authorization</w:t>
      </w:r>
      <w:r>
        <w:br/>
        <w:t>Dual-authorization is mandatory for payments above ₹10 lakhs or USD equivalent. Automated approval workflows are embedded in the ERP system.</w:t>
      </w:r>
      <w:r>
        <w:br/>
      </w:r>
      <w:r>
        <w:rPr>
          <w:rStyle w:val="Emphasis"/>
          <w:rFonts w:eastAsiaTheme="majorEastAsia"/>
        </w:rPr>
        <w:t>Control Type:</w:t>
      </w:r>
      <w:r>
        <w:t xml:space="preserve"> Preventive | </w:t>
      </w:r>
      <w:r>
        <w:rPr>
          <w:rStyle w:val="Emphasis"/>
          <w:rFonts w:eastAsiaTheme="majorEastAsia"/>
        </w:rPr>
        <w:t>Frequency:</w:t>
      </w:r>
      <w:r>
        <w:t xml:space="preserve"> Per transaction | </w:t>
      </w:r>
      <w:r>
        <w:rPr>
          <w:rStyle w:val="Emphasis"/>
          <w:rFonts w:eastAsiaTheme="majorEastAsia"/>
        </w:rPr>
        <w:t>Owner:</w:t>
      </w:r>
      <w:r>
        <w:t xml:space="preserve"> Treasury Team</w:t>
      </w:r>
    </w:p>
    <w:p w14:paraId="7E12D610" w14:textId="77777777" w:rsidR="00C24BA0" w:rsidRDefault="00C24BA0" w:rsidP="00C24BA0">
      <w:r>
        <w:pict w14:anchorId="2230D855">
          <v:rect id="_x0000_i1049" style="width:0;height:1.5pt" o:hralign="center" o:hrstd="t" o:hr="t" fillcolor="#a0a0a0" stroked="f"/>
        </w:pict>
      </w:r>
    </w:p>
    <w:p w14:paraId="33AB26DD" w14:textId="77777777" w:rsidR="00C24BA0" w:rsidRDefault="00C24BA0" w:rsidP="00C24BA0">
      <w:pPr>
        <w:pStyle w:val="Heading4"/>
      </w:pPr>
      <w:r>
        <w:t>4.1.3 Segregation of Duties (</w:t>
      </w:r>
      <w:proofErr w:type="spellStart"/>
      <w:r>
        <w:t>SoD</w:t>
      </w:r>
      <w:proofErr w:type="spellEnd"/>
      <w:r>
        <w:t>)</w:t>
      </w:r>
    </w:p>
    <w:p w14:paraId="47FEBA49" w14:textId="77777777" w:rsidR="00C24BA0" w:rsidRDefault="00C24BA0" w:rsidP="00C24BA0">
      <w:pPr>
        <w:pStyle w:val="NormalWeb"/>
        <w:numPr>
          <w:ilvl w:val="0"/>
          <w:numId w:val="17"/>
        </w:numPr>
      </w:pPr>
      <w:r>
        <w:rPr>
          <w:rStyle w:val="Strong"/>
        </w:rPr>
        <w:t xml:space="preserve">4.1.3.1 </w:t>
      </w:r>
      <w:proofErr w:type="spellStart"/>
      <w:r>
        <w:rPr>
          <w:rStyle w:val="Strong"/>
        </w:rPr>
        <w:t>SoD</w:t>
      </w:r>
      <w:proofErr w:type="spellEnd"/>
      <w:r>
        <w:rPr>
          <w:rStyle w:val="Strong"/>
        </w:rPr>
        <w:t xml:space="preserve"> Enforcement Matrix</w:t>
      </w:r>
      <w:r>
        <w:br/>
        <w:t xml:space="preserve">No individual is allowed to initiate, approve, and reconcile a transaction end-to-end. The </w:t>
      </w:r>
      <w:proofErr w:type="spellStart"/>
      <w:r>
        <w:t>SoD</w:t>
      </w:r>
      <w:proofErr w:type="spellEnd"/>
      <w:r>
        <w:t xml:space="preserve"> matrix is embedded within core systems, and reviewed bi-annually by Internal Audit.</w:t>
      </w:r>
      <w:r>
        <w:br/>
      </w:r>
      <w:r>
        <w:rPr>
          <w:rStyle w:val="Emphasis"/>
          <w:rFonts w:eastAsiaTheme="majorEastAsia"/>
        </w:rPr>
        <w:t>Control Type:</w:t>
      </w:r>
      <w:r>
        <w:t xml:space="preserve"> Preventive | </w:t>
      </w:r>
      <w:r>
        <w:rPr>
          <w:rStyle w:val="Emphasis"/>
          <w:rFonts w:eastAsiaTheme="majorEastAsia"/>
        </w:rPr>
        <w:t>Frequency:</w:t>
      </w:r>
      <w:r>
        <w:t xml:space="preserve"> Bi-annually | </w:t>
      </w:r>
      <w:r>
        <w:rPr>
          <w:rStyle w:val="Emphasis"/>
          <w:rFonts w:eastAsiaTheme="majorEastAsia"/>
        </w:rPr>
        <w:t>Owner:</w:t>
      </w:r>
      <w:r>
        <w:t xml:space="preserve"> Risk &amp; Controls Team</w:t>
      </w:r>
    </w:p>
    <w:p w14:paraId="123D5FBC" w14:textId="77777777" w:rsidR="00C24BA0" w:rsidRDefault="00C24BA0" w:rsidP="00C24BA0">
      <w:r>
        <w:pict w14:anchorId="46E7EA61">
          <v:rect id="_x0000_i1050" style="width:0;height:1.5pt" o:hralign="center" o:hrstd="t" o:hr="t" fillcolor="#a0a0a0" stroked="f"/>
        </w:pict>
      </w:r>
    </w:p>
    <w:p w14:paraId="578E6146" w14:textId="77777777" w:rsidR="00C24BA0" w:rsidRDefault="00C24BA0" w:rsidP="00C24BA0">
      <w:pPr>
        <w:pStyle w:val="Heading4"/>
      </w:pPr>
      <w:r>
        <w:t>4.1.4 Journal Entry &amp; Month-End Close Controls</w:t>
      </w:r>
    </w:p>
    <w:p w14:paraId="0C369A31" w14:textId="77777777" w:rsidR="00C24BA0" w:rsidRDefault="00C24BA0" w:rsidP="00C24BA0">
      <w:pPr>
        <w:pStyle w:val="NormalWeb"/>
        <w:numPr>
          <w:ilvl w:val="0"/>
          <w:numId w:val="18"/>
        </w:numPr>
      </w:pPr>
      <w:r>
        <w:rPr>
          <w:rStyle w:val="Strong"/>
        </w:rPr>
        <w:t>4.1.4.1 Journal Entry Controls</w:t>
      </w:r>
      <w:r>
        <w:br/>
        <w:t>Manual journal entries require preparer and approver segregation. Entries over ₹5 lakhs require supporting documentation and CFO-level approval.</w:t>
      </w:r>
      <w:r>
        <w:br/>
      </w:r>
      <w:r>
        <w:rPr>
          <w:rStyle w:val="Emphasis"/>
          <w:rFonts w:eastAsiaTheme="majorEastAsia"/>
        </w:rPr>
        <w:t>Control Type:</w:t>
      </w:r>
      <w:r>
        <w:t xml:space="preserve"> Preventive | </w:t>
      </w:r>
      <w:r>
        <w:rPr>
          <w:rStyle w:val="Emphasis"/>
          <w:rFonts w:eastAsiaTheme="majorEastAsia"/>
        </w:rPr>
        <w:t>Frequency:</w:t>
      </w:r>
      <w:r>
        <w:t xml:space="preserve"> Monthly | </w:t>
      </w:r>
      <w:r>
        <w:rPr>
          <w:rStyle w:val="Emphasis"/>
          <w:rFonts w:eastAsiaTheme="majorEastAsia"/>
        </w:rPr>
        <w:t>Owner:</w:t>
      </w:r>
      <w:r>
        <w:t xml:space="preserve"> GL Accounting Lead</w:t>
      </w:r>
    </w:p>
    <w:p w14:paraId="25C60286" w14:textId="77777777" w:rsidR="00C24BA0" w:rsidRDefault="00C24BA0" w:rsidP="00C24BA0">
      <w:pPr>
        <w:pStyle w:val="NormalWeb"/>
        <w:numPr>
          <w:ilvl w:val="0"/>
          <w:numId w:val="18"/>
        </w:numPr>
      </w:pPr>
      <w:r>
        <w:rPr>
          <w:rStyle w:val="Strong"/>
        </w:rPr>
        <w:t>4.1.4.2 Month-End Close Checklist</w:t>
      </w:r>
      <w:r>
        <w:br/>
        <w:t>Standardized closing checklist across departments, with task owners, due dates, and sign-offs. Reviewed by Financial Controller before reporting.</w:t>
      </w:r>
      <w:r>
        <w:br/>
      </w:r>
      <w:r>
        <w:rPr>
          <w:rStyle w:val="Emphasis"/>
          <w:rFonts w:eastAsiaTheme="majorEastAsia"/>
        </w:rPr>
        <w:t>Control Type:</w:t>
      </w:r>
      <w:r>
        <w:t xml:space="preserve"> Detective | </w:t>
      </w:r>
      <w:r>
        <w:rPr>
          <w:rStyle w:val="Emphasis"/>
          <w:rFonts w:eastAsiaTheme="majorEastAsia"/>
        </w:rPr>
        <w:t>Frequency:</w:t>
      </w:r>
      <w:r>
        <w:t xml:space="preserve"> Monthly | </w:t>
      </w:r>
      <w:r>
        <w:rPr>
          <w:rStyle w:val="Emphasis"/>
          <w:rFonts w:eastAsiaTheme="majorEastAsia"/>
        </w:rPr>
        <w:t>Owner:</w:t>
      </w:r>
      <w:r>
        <w:t xml:space="preserve"> Financial Reporting Head</w:t>
      </w:r>
    </w:p>
    <w:p w14:paraId="385B956A" w14:textId="77777777" w:rsidR="00C24BA0" w:rsidRDefault="00C24BA0" w:rsidP="00C24BA0">
      <w:r>
        <w:pict w14:anchorId="4A17593D">
          <v:rect id="_x0000_i1051" style="width:0;height:1.5pt" o:hralign="center" o:hrstd="t" o:hr="t" fillcolor="#a0a0a0" stroked="f"/>
        </w:pict>
      </w:r>
    </w:p>
    <w:p w14:paraId="2C7FC8F8" w14:textId="77777777" w:rsidR="00C24BA0" w:rsidRDefault="00C24BA0" w:rsidP="00C24BA0">
      <w:pPr>
        <w:pStyle w:val="Heading3"/>
      </w:pPr>
      <w:r>
        <w:lastRenderedPageBreak/>
        <w:t>4.2 Operational Controls</w:t>
      </w:r>
    </w:p>
    <w:p w14:paraId="3D4D942E" w14:textId="77777777" w:rsidR="00C24BA0" w:rsidRDefault="00C24BA0" w:rsidP="00C24BA0">
      <w:pPr>
        <w:pStyle w:val="Heading4"/>
      </w:pPr>
      <w:r>
        <w:t>4.2.1 Transaction Monitoring</w:t>
      </w:r>
    </w:p>
    <w:p w14:paraId="643A8A7E" w14:textId="77777777" w:rsidR="00C24BA0" w:rsidRDefault="00C24BA0" w:rsidP="00C24BA0">
      <w:pPr>
        <w:pStyle w:val="NormalWeb"/>
        <w:numPr>
          <w:ilvl w:val="0"/>
          <w:numId w:val="19"/>
        </w:numPr>
      </w:pPr>
      <w:r>
        <w:rPr>
          <w:rStyle w:val="Strong"/>
        </w:rPr>
        <w:t>4.2.1.1 AML Transaction Screening</w:t>
      </w:r>
      <w:r>
        <w:br/>
        <w:t>All transactions are screened real-time using rule-based and machine-learning models. Suspicious activity is logged and reviewed by AML Compliance Team.</w:t>
      </w:r>
      <w:r>
        <w:br/>
      </w:r>
      <w:r>
        <w:rPr>
          <w:rStyle w:val="Emphasis"/>
          <w:rFonts w:eastAsiaTheme="majorEastAsia"/>
        </w:rPr>
        <w:t>Control Type:</w:t>
      </w:r>
      <w:r>
        <w:t xml:space="preserve"> Detective | </w:t>
      </w:r>
      <w:r>
        <w:rPr>
          <w:rStyle w:val="Emphasis"/>
          <w:rFonts w:eastAsiaTheme="majorEastAsia"/>
        </w:rPr>
        <w:t>Frequency:</w:t>
      </w:r>
      <w:r>
        <w:t xml:space="preserve"> Real-time | </w:t>
      </w:r>
      <w:r>
        <w:rPr>
          <w:rStyle w:val="Emphasis"/>
          <w:rFonts w:eastAsiaTheme="majorEastAsia"/>
        </w:rPr>
        <w:t>Owner:</w:t>
      </w:r>
      <w:r>
        <w:t xml:space="preserve"> AML Officer</w:t>
      </w:r>
    </w:p>
    <w:p w14:paraId="34DFDF30" w14:textId="77777777" w:rsidR="00C24BA0" w:rsidRDefault="00C24BA0" w:rsidP="00C24BA0">
      <w:pPr>
        <w:pStyle w:val="NormalWeb"/>
        <w:numPr>
          <w:ilvl w:val="0"/>
          <w:numId w:val="19"/>
        </w:numPr>
      </w:pPr>
      <w:r>
        <w:rPr>
          <w:rStyle w:val="Strong"/>
        </w:rPr>
        <w:t>4.2.1.2 KYC Validation</w:t>
      </w:r>
      <w:r>
        <w:br/>
        <w:t>KYC documents undergo automated OCR checks and are cross-verified against government and sanction lists. Any discrepancies are auto-flagged.</w:t>
      </w:r>
      <w:r>
        <w:br/>
      </w:r>
      <w:r>
        <w:rPr>
          <w:rStyle w:val="Emphasis"/>
          <w:rFonts w:eastAsiaTheme="majorEastAsia"/>
        </w:rPr>
        <w:t>Control Type:</w:t>
      </w:r>
      <w:r>
        <w:t xml:space="preserve"> Preventive | </w:t>
      </w:r>
      <w:r>
        <w:rPr>
          <w:rStyle w:val="Emphasis"/>
          <w:rFonts w:eastAsiaTheme="majorEastAsia"/>
        </w:rPr>
        <w:t>Frequency:</w:t>
      </w:r>
      <w:r>
        <w:t xml:space="preserve"> At onboarding and periodic refresh | </w:t>
      </w:r>
      <w:r>
        <w:rPr>
          <w:rStyle w:val="Emphasis"/>
          <w:rFonts w:eastAsiaTheme="majorEastAsia"/>
        </w:rPr>
        <w:t>Owner:</w:t>
      </w:r>
      <w:r>
        <w:t xml:space="preserve"> Onboarding Operations Lead</w:t>
      </w:r>
    </w:p>
    <w:p w14:paraId="0B81FEFF" w14:textId="77777777" w:rsidR="00C24BA0" w:rsidRDefault="00C24BA0" w:rsidP="00C24BA0">
      <w:pPr>
        <w:pStyle w:val="NormalWeb"/>
        <w:numPr>
          <w:ilvl w:val="0"/>
          <w:numId w:val="19"/>
        </w:numPr>
      </w:pPr>
      <w:r>
        <w:rPr>
          <w:rStyle w:val="Strong"/>
        </w:rPr>
        <w:t>4.2.1.3 Internal Fraud Detection Engine</w:t>
      </w:r>
      <w:r>
        <w:br/>
        <w:t xml:space="preserve">A </w:t>
      </w:r>
      <w:proofErr w:type="spellStart"/>
      <w:r>
        <w:t>behavioral</w:t>
      </w:r>
      <w:proofErr w:type="spellEnd"/>
      <w:r>
        <w:t xml:space="preserve"> analytics engine monitors employee/system anomalies to detect potential internal fraud (e.g., override frequency, privilege misuse).</w:t>
      </w:r>
      <w:r>
        <w:br/>
      </w:r>
      <w:r>
        <w:rPr>
          <w:rStyle w:val="Emphasis"/>
          <w:rFonts w:eastAsiaTheme="majorEastAsia"/>
        </w:rPr>
        <w:t>Control Type:</w:t>
      </w:r>
      <w:r>
        <w:t xml:space="preserve"> Detective | </w:t>
      </w:r>
      <w:r>
        <w:rPr>
          <w:rStyle w:val="Emphasis"/>
          <w:rFonts w:eastAsiaTheme="majorEastAsia"/>
        </w:rPr>
        <w:t>Frequency:</w:t>
      </w:r>
      <w:r>
        <w:t xml:space="preserve"> Continuous | </w:t>
      </w:r>
      <w:r>
        <w:rPr>
          <w:rStyle w:val="Emphasis"/>
          <w:rFonts w:eastAsiaTheme="majorEastAsia"/>
        </w:rPr>
        <w:t>Owner:</w:t>
      </w:r>
      <w:r>
        <w:t xml:space="preserve"> Information Security &amp; Fraud Risk Unit</w:t>
      </w:r>
    </w:p>
    <w:p w14:paraId="152025DA" w14:textId="77777777" w:rsidR="00C24BA0" w:rsidRDefault="00C24BA0" w:rsidP="00C24BA0">
      <w:r>
        <w:pict w14:anchorId="7CC7565E">
          <v:rect id="_x0000_i1052" style="width:0;height:1.5pt" o:hralign="center" o:hrstd="t" o:hr="t" fillcolor="#a0a0a0" stroked="f"/>
        </w:pict>
      </w:r>
    </w:p>
    <w:p w14:paraId="0D58CBEE" w14:textId="77777777" w:rsidR="00C24BA0" w:rsidRDefault="00C24BA0" w:rsidP="00C24BA0">
      <w:pPr>
        <w:pStyle w:val="Heading4"/>
      </w:pPr>
      <w:r>
        <w:t>4.2.2 IT Controls</w:t>
      </w:r>
    </w:p>
    <w:p w14:paraId="229411A0" w14:textId="77777777" w:rsidR="00C24BA0" w:rsidRDefault="00C24BA0" w:rsidP="00C24BA0">
      <w:pPr>
        <w:pStyle w:val="NormalWeb"/>
        <w:numPr>
          <w:ilvl w:val="0"/>
          <w:numId w:val="20"/>
        </w:numPr>
      </w:pPr>
      <w:r>
        <w:rPr>
          <w:rStyle w:val="Strong"/>
        </w:rPr>
        <w:t>4.2.2.1 User Access Management</w:t>
      </w:r>
      <w:r>
        <w:br/>
        <w:t>Role-based access controls (RBAC) are implemented across systems. Access provisioning and de-provisioning are tracked via ticketing tools and reviewed monthly.</w:t>
      </w:r>
      <w:r>
        <w:br/>
      </w:r>
      <w:r>
        <w:rPr>
          <w:rStyle w:val="Emphasis"/>
          <w:rFonts w:eastAsiaTheme="majorEastAsia"/>
        </w:rPr>
        <w:t>Control Type:</w:t>
      </w:r>
      <w:r>
        <w:t xml:space="preserve"> Preventive | </w:t>
      </w:r>
      <w:r>
        <w:rPr>
          <w:rStyle w:val="Emphasis"/>
          <w:rFonts w:eastAsiaTheme="majorEastAsia"/>
        </w:rPr>
        <w:t>Frequency:</w:t>
      </w:r>
      <w:r>
        <w:t xml:space="preserve"> Monthly | </w:t>
      </w:r>
      <w:r>
        <w:rPr>
          <w:rStyle w:val="Emphasis"/>
          <w:rFonts w:eastAsiaTheme="majorEastAsia"/>
        </w:rPr>
        <w:t>Owner:</w:t>
      </w:r>
      <w:r>
        <w:t xml:space="preserve"> IT Security Lead</w:t>
      </w:r>
    </w:p>
    <w:p w14:paraId="2574E864" w14:textId="77777777" w:rsidR="00C24BA0" w:rsidRDefault="00C24BA0" w:rsidP="00C24BA0">
      <w:pPr>
        <w:pStyle w:val="NormalWeb"/>
        <w:numPr>
          <w:ilvl w:val="0"/>
          <w:numId w:val="20"/>
        </w:numPr>
      </w:pPr>
      <w:r>
        <w:rPr>
          <w:rStyle w:val="Strong"/>
        </w:rPr>
        <w:t>4.2.2.2 Change Management Controls</w:t>
      </w:r>
      <w:r>
        <w:br/>
        <w:t>All system changes (code, infrastructure) must pass through a controlled CI/CD pipeline with peer reviews, staging validation, and rollback plans.</w:t>
      </w:r>
      <w:r>
        <w:br/>
      </w:r>
      <w:r>
        <w:rPr>
          <w:rStyle w:val="Emphasis"/>
          <w:rFonts w:eastAsiaTheme="majorEastAsia"/>
        </w:rPr>
        <w:t>Control Type:</w:t>
      </w:r>
      <w:r>
        <w:t xml:space="preserve"> Preventive | </w:t>
      </w:r>
      <w:r>
        <w:rPr>
          <w:rStyle w:val="Emphasis"/>
          <w:rFonts w:eastAsiaTheme="majorEastAsia"/>
        </w:rPr>
        <w:t>Frequency:</w:t>
      </w:r>
      <w:r>
        <w:t xml:space="preserve"> Per release | </w:t>
      </w:r>
      <w:r>
        <w:rPr>
          <w:rStyle w:val="Emphasis"/>
          <w:rFonts w:eastAsiaTheme="majorEastAsia"/>
        </w:rPr>
        <w:t>Owner:</w:t>
      </w:r>
      <w:r>
        <w:t xml:space="preserve"> DevOps Manager</w:t>
      </w:r>
    </w:p>
    <w:p w14:paraId="1103FFD3" w14:textId="77777777" w:rsidR="00C24BA0" w:rsidRDefault="00C24BA0" w:rsidP="00C24BA0">
      <w:pPr>
        <w:pStyle w:val="NormalWeb"/>
        <w:numPr>
          <w:ilvl w:val="0"/>
          <w:numId w:val="20"/>
        </w:numPr>
      </w:pPr>
      <w:r>
        <w:rPr>
          <w:rStyle w:val="Strong"/>
        </w:rPr>
        <w:t>4.2.2.3 Endpoint Protection &amp; Monitoring</w:t>
      </w:r>
      <w:r>
        <w:br/>
        <w:t>Anti-malware, EDR (Endpoint Detection &amp; Response), and encryption tools are deployed on all corporate assets. Security events are logged centrally.</w:t>
      </w:r>
      <w:r>
        <w:br/>
      </w:r>
      <w:r>
        <w:rPr>
          <w:rStyle w:val="Emphasis"/>
          <w:rFonts w:eastAsiaTheme="majorEastAsia"/>
        </w:rPr>
        <w:t>Control Type:</w:t>
      </w:r>
      <w:r>
        <w:t xml:space="preserve"> Detective | </w:t>
      </w:r>
      <w:r>
        <w:rPr>
          <w:rStyle w:val="Emphasis"/>
          <w:rFonts w:eastAsiaTheme="majorEastAsia"/>
        </w:rPr>
        <w:t>Frequency:</w:t>
      </w:r>
      <w:r>
        <w:t xml:space="preserve"> Real-time | </w:t>
      </w:r>
      <w:r>
        <w:rPr>
          <w:rStyle w:val="Emphasis"/>
          <w:rFonts w:eastAsiaTheme="majorEastAsia"/>
        </w:rPr>
        <w:t>Owner:</w:t>
      </w:r>
      <w:r>
        <w:t xml:space="preserve"> CISO Office</w:t>
      </w:r>
    </w:p>
    <w:p w14:paraId="6179FDAB" w14:textId="77777777" w:rsidR="00C24BA0" w:rsidRDefault="00C24BA0" w:rsidP="00C24BA0">
      <w:r>
        <w:pict w14:anchorId="064952DB">
          <v:rect id="_x0000_i1053" style="width:0;height:1.5pt" o:hralign="center" o:hrstd="t" o:hr="t" fillcolor="#a0a0a0" stroked="f"/>
        </w:pict>
      </w:r>
    </w:p>
    <w:p w14:paraId="200575EB" w14:textId="77777777" w:rsidR="00C24BA0" w:rsidRDefault="00C24BA0" w:rsidP="00C24BA0">
      <w:pPr>
        <w:pStyle w:val="Heading4"/>
      </w:pPr>
      <w:r>
        <w:t>4.2.3 Business Continuity &amp; Disaster Recovery</w:t>
      </w:r>
    </w:p>
    <w:p w14:paraId="0C898853" w14:textId="77777777" w:rsidR="00C24BA0" w:rsidRDefault="00C24BA0" w:rsidP="00C24BA0">
      <w:pPr>
        <w:pStyle w:val="NormalWeb"/>
        <w:numPr>
          <w:ilvl w:val="0"/>
          <w:numId w:val="21"/>
        </w:numPr>
      </w:pPr>
      <w:r>
        <w:rPr>
          <w:rStyle w:val="Strong"/>
        </w:rPr>
        <w:t>4.2.3.1 Business Continuity Plan (BCP)</w:t>
      </w:r>
      <w:r>
        <w:br/>
        <w:t>Department-wise BCPs exist for critical operations. DR drills are conducted semi-annually with metrics on RTO/RPO.</w:t>
      </w:r>
      <w:r>
        <w:br/>
      </w:r>
      <w:r>
        <w:rPr>
          <w:rStyle w:val="Emphasis"/>
          <w:rFonts w:eastAsiaTheme="majorEastAsia"/>
        </w:rPr>
        <w:t>Control Type:</w:t>
      </w:r>
      <w:r>
        <w:t xml:space="preserve"> Preventive | </w:t>
      </w:r>
      <w:r>
        <w:rPr>
          <w:rStyle w:val="Emphasis"/>
          <w:rFonts w:eastAsiaTheme="majorEastAsia"/>
        </w:rPr>
        <w:t>Frequency:</w:t>
      </w:r>
      <w:r>
        <w:t xml:space="preserve"> Semi-annually | </w:t>
      </w:r>
      <w:r>
        <w:rPr>
          <w:rStyle w:val="Emphasis"/>
          <w:rFonts w:eastAsiaTheme="majorEastAsia"/>
        </w:rPr>
        <w:t>Owner:</w:t>
      </w:r>
      <w:r>
        <w:t xml:space="preserve"> BCP Coordinator, Operations Team</w:t>
      </w:r>
    </w:p>
    <w:p w14:paraId="133F845D" w14:textId="77777777" w:rsidR="00C24BA0" w:rsidRDefault="00C24BA0" w:rsidP="00C24BA0">
      <w:pPr>
        <w:pStyle w:val="NormalWeb"/>
        <w:numPr>
          <w:ilvl w:val="0"/>
          <w:numId w:val="21"/>
        </w:numPr>
      </w:pPr>
      <w:r>
        <w:rPr>
          <w:rStyle w:val="Strong"/>
        </w:rPr>
        <w:t>4.2.3.2 Data Backup &amp; Recovery</w:t>
      </w:r>
      <w:r>
        <w:br/>
        <w:t>Full and incremental backups of critical systems are scheduled daily and weekly. Backup success/failure logs are auto-reviewed.</w:t>
      </w:r>
      <w:r>
        <w:br/>
      </w:r>
      <w:r>
        <w:rPr>
          <w:rStyle w:val="Emphasis"/>
          <w:rFonts w:eastAsiaTheme="majorEastAsia"/>
        </w:rPr>
        <w:t>Control Type:</w:t>
      </w:r>
      <w:r>
        <w:t xml:space="preserve"> Detective | </w:t>
      </w:r>
      <w:r>
        <w:rPr>
          <w:rStyle w:val="Emphasis"/>
          <w:rFonts w:eastAsiaTheme="majorEastAsia"/>
        </w:rPr>
        <w:t>Frequency:</w:t>
      </w:r>
      <w:r>
        <w:t xml:space="preserve"> Daily/Weekly | </w:t>
      </w:r>
      <w:r>
        <w:rPr>
          <w:rStyle w:val="Emphasis"/>
          <w:rFonts w:eastAsiaTheme="majorEastAsia"/>
        </w:rPr>
        <w:t>Owner:</w:t>
      </w:r>
      <w:r>
        <w:t xml:space="preserve"> IT Infrastructure Lead</w:t>
      </w:r>
    </w:p>
    <w:p w14:paraId="06C59DB5" w14:textId="77777777" w:rsidR="00C24BA0" w:rsidRDefault="00C24BA0" w:rsidP="00C24BA0">
      <w:r>
        <w:lastRenderedPageBreak/>
        <w:pict w14:anchorId="45FC5507">
          <v:rect id="_x0000_i1054" style="width:0;height:1.5pt" o:hralign="center" o:hrstd="t" o:hr="t" fillcolor="#a0a0a0" stroked="f"/>
        </w:pict>
      </w:r>
    </w:p>
    <w:p w14:paraId="663FEBE3" w14:textId="77777777" w:rsidR="00C24BA0" w:rsidRDefault="00C24BA0" w:rsidP="00C24BA0">
      <w:pPr>
        <w:pStyle w:val="Heading3"/>
      </w:pPr>
      <w:r>
        <w:t>4.3 Compliance Controls</w:t>
      </w:r>
    </w:p>
    <w:p w14:paraId="3D495A14" w14:textId="77777777" w:rsidR="00C24BA0" w:rsidRDefault="00C24BA0" w:rsidP="00C24BA0">
      <w:pPr>
        <w:pStyle w:val="Heading4"/>
      </w:pPr>
      <w:r>
        <w:t>4.3.1 Regulatory Reporting</w:t>
      </w:r>
    </w:p>
    <w:p w14:paraId="42117959" w14:textId="77777777" w:rsidR="00C24BA0" w:rsidRDefault="00C24BA0" w:rsidP="00C24BA0">
      <w:pPr>
        <w:pStyle w:val="NormalWeb"/>
        <w:numPr>
          <w:ilvl w:val="0"/>
          <w:numId w:val="22"/>
        </w:numPr>
      </w:pPr>
      <w:r>
        <w:rPr>
          <w:rStyle w:val="Strong"/>
        </w:rPr>
        <w:t>4.3.1.1 Basel III Capital Reporting Controls</w:t>
      </w:r>
      <w:r>
        <w:br/>
        <w:t>Capital adequacy ratio, LCR, and NSFR calculations are automated via the risk engine and reviewed by the Risk &amp; Treasury teams monthly.</w:t>
      </w:r>
      <w:r>
        <w:br/>
      </w:r>
      <w:r>
        <w:rPr>
          <w:rStyle w:val="Emphasis"/>
          <w:rFonts w:eastAsiaTheme="majorEastAsia"/>
        </w:rPr>
        <w:t>Control Type:</w:t>
      </w:r>
      <w:r>
        <w:t xml:space="preserve"> Preventive | </w:t>
      </w:r>
      <w:r>
        <w:rPr>
          <w:rStyle w:val="Emphasis"/>
          <w:rFonts w:eastAsiaTheme="majorEastAsia"/>
        </w:rPr>
        <w:t>Frequency:</w:t>
      </w:r>
      <w:r>
        <w:t xml:space="preserve"> Monthly | </w:t>
      </w:r>
      <w:r>
        <w:rPr>
          <w:rStyle w:val="Emphasis"/>
          <w:rFonts w:eastAsiaTheme="majorEastAsia"/>
        </w:rPr>
        <w:t>Owner:</w:t>
      </w:r>
      <w:r>
        <w:t xml:space="preserve"> Treasury Risk Manager</w:t>
      </w:r>
    </w:p>
    <w:p w14:paraId="33691B22" w14:textId="77777777" w:rsidR="00C24BA0" w:rsidRDefault="00C24BA0" w:rsidP="00C24BA0">
      <w:pPr>
        <w:pStyle w:val="NormalWeb"/>
        <w:numPr>
          <w:ilvl w:val="0"/>
          <w:numId w:val="22"/>
        </w:numPr>
      </w:pPr>
      <w:r>
        <w:rPr>
          <w:rStyle w:val="Strong"/>
        </w:rPr>
        <w:t>4.3.1.2 FATCA &amp; CRS Compliance</w:t>
      </w:r>
      <w:r>
        <w:br/>
        <w:t>Customer tax status and residency are verified at onboarding. Reports are generated quarterly and validated by Legal &amp; Compliance.</w:t>
      </w:r>
      <w:r>
        <w:br/>
      </w:r>
      <w:r>
        <w:rPr>
          <w:rStyle w:val="Emphasis"/>
          <w:rFonts w:eastAsiaTheme="majorEastAsia"/>
        </w:rPr>
        <w:t>Control Type:</w:t>
      </w:r>
      <w:r>
        <w:t xml:space="preserve"> Preventive/Detective | </w:t>
      </w:r>
      <w:r>
        <w:rPr>
          <w:rStyle w:val="Emphasis"/>
          <w:rFonts w:eastAsiaTheme="majorEastAsia"/>
        </w:rPr>
        <w:t>Frequency:</w:t>
      </w:r>
      <w:r>
        <w:t xml:space="preserve"> Quarterly | </w:t>
      </w:r>
      <w:r>
        <w:rPr>
          <w:rStyle w:val="Emphasis"/>
          <w:rFonts w:eastAsiaTheme="majorEastAsia"/>
        </w:rPr>
        <w:t>Owner:</w:t>
      </w:r>
      <w:r>
        <w:t xml:space="preserve"> Compliance Officer</w:t>
      </w:r>
    </w:p>
    <w:p w14:paraId="6242ABFC" w14:textId="77777777" w:rsidR="00C24BA0" w:rsidRDefault="00C24BA0" w:rsidP="00C24BA0">
      <w:pPr>
        <w:pStyle w:val="NormalWeb"/>
        <w:numPr>
          <w:ilvl w:val="0"/>
          <w:numId w:val="22"/>
        </w:numPr>
      </w:pPr>
      <w:r>
        <w:rPr>
          <w:rStyle w:val="Strong"/>
        </w:rPr>
        <w:t>4.3.1.3 Dodd-Frank Stress Test Submissions</w:t>
      </w:r>
      <w:r>
        <w:br/>
        <w:t xml:space="preserve">If applicable to global operations, macroeconomic stress testing scenarios are </w:t>
      </w:r>
      <w:proofErr w:type="spellStart"/>
      <w:r>
        <w:t>modeled</w:t>
      </w:r>
      <w:proofErr w:type="spellEnd"/>
      <w:r>
        <w:t xml:space="preserve"> and submitted to regulatory bodies in line with calendar schedules.</w:t>
      </w:r>
      <w:r>
        <w:br/>
      </w:r>
      <w:r>
        <w:rPr>
          <w:rStyle w:val="Emphasis"/>
          <w:rFonts w:eastAsiaTheme="majorEastAsia"/>
        </w:rPr>
        <w:t>Control Type:</w:t>
      </w:r>
      <w:r>
        <w:t xml:space="preserve"> Preventive | </w:t>
      </w:r>
      <w:r>
        <w:rPr>
          <w:rStyle w:val="Emphasis"/>
          <w:rFonts w:eastAsiaTheme="majorEastAsia"/>
        </w:rPr>
        <w:t>Frequency:</w:t>
      </w:r>
      <w:r>
        <w:t xml:space="preserve"> Annually | </w:t>
      </w:r>
      <w:r>
        <w:rPr>
          <w:rStyle w:val="Emphasis"/>
          <w:rFonts w:eastAsiaTheme="majorEastAsia"/>
        </w:rPr>
        <w:t>Owner:</w:t>
      </w:r>
      <w:r>
        <w:t xml:space="preserve"> Risk </w:t>
      </w:r>
      <w:proofErr w:type="spellStart"/>
      <w:r>
        <w:t>Modeling</w:t>
      </w:r>
      <w:proofErr w:type="spellEnd"/>
      <w:r>
        <w:t xml:space="preserve"> Team</w:t>
      </w:r>
    </w:p>
    <w:p w14:paraId="32CCCB13" w14:textId="77777777" w:rsidR="00C24BA0" w:rsidRDefault="00C24BA0" w:rsidP="00C24BA0">
      <w:r>
        <w:pict w14:anchorId="7C56D398">
          <v:rect id="_x0000_i1055" style="width:0;height:1.5pt" o:hralign="center" o:hrstd="t" o:hr="t" fillcolor="#a0a0a0" stroked="f"/>
        </w:pict>
      </w:r>
    </w:p>
    <w:p w14:paraId="75975A49" w14:textId="77777777" w:rsidR="00C24BA0" w:rsidRDefault="00C24BA0" w:rsidP="00C24BA0">
      <w:pPr>
        <w:pStyle w:val="Heading4"/>
      </w:pPr>
      <w:r>
        <w:t>4.3.2 Tax Compliance</w:t>
      </w:r>
    </w:p>
    <w:p w14:paraId="4A6FA02D" w14:textId="77777777" w:rsidR="00C24BA0" w:rsidRDefault="00C24BA0" w:rsidP="00C24BA0">
      <w:pPr>
        <w:pStyle w:val="NormalWeb"/>
        <w:numPr>
          <w:ilvl w:val="0"/>
          <w:numId w:val="23"/>
        </w:numPr>
      </w:pPr>
      <w:r>
        <w:rPr>
          <w:rStyle w:val="Strong"/>
        </w:rPr>
        <w:t>4.3.2.1 Withholding Tax Monitoring</w:t>
      </w:r>
      <w:r>
        <w:br/>
        <w:t>System-generated checks on applicable TDS/GST withholding at payment initiation. Tax compliance reports are submitted monthly.</w:t>
      </w:r>
      <w:r>
        <w:br/>
      </w:r>
      <w:r>
        <w:rPr>
          <w:rStyle w:val="Emphasis"/>
          <w:rFonts w:eastAsiaTheme="majorEastAsia"/>
        </w:rPr>
        <w:t>Control Type:</w:t>
      </w:r>
      <w:r>
        <w:t xml:space="preserve"> Preventive | </w:t>
      </w:r>
      <w:r>
        <w:rPr>
          <w:rStyle w:val="Emphasis"/>
          <w:rFonts w:eastAsiaTheme="majorEastAsia"/>
        </w:rPr>
        <w:t>Frequency:</w:t>
      </w:r>
      <w:r>
        <w:t xml:space="preserve"> Monthly | </w:t>
      </w:r>
      <w:r>
        <w:rPr>
          <w:rStyle w:val="Emphasis"/>
          <w:rFonts w:eastAsiaTheme="majorEastAsia"/>
        </w:rPr>
        <w:t>Owner:</w:t>
      </w:r>
      <w:r>
        <w:t xml:space="preserve"> Taxation Manager</w:t>
      </w:r>
    </w:p>
    <w:p w14:paraId="3760A95A" w14:textId="77777777" w:rsidR="00C24BA0" w:rsidRDefault="00C24BA0" w:rsidP="00C24BA0">
      <w:pPr>
        <w:pStyle w:val="NormalWeb"/>
        <w:numPr>
          <w:ilvl w:val="0"/>
          <w:numId w:val="23"/>
        </w:numPr>
      </w:pPr>
      <w:r>
        <w:rPr>
          <w:rStyle w:val="Strong"/>
        </w:rPr>
        <w:t>4.3.2.2 Transfer Pricing Review</w:t>
      </w:r>
      <w:r>
        <w:br/>
        <w:t>Intercompany service arrangements are reviewed annually to align with Arm’s Length Pricing principles.</w:t>
      </w:r>
      <w:r>
        <w:br/>
      </w:r>
      <w:r>
        <w:rPr>
          <w:rStyle w:val="Emphasis"/>
          <w:rFonts w:eastAsiaTheme="majorEastAsia"/>
        </w:rPr>
        <w:t>Control Type:</w:t>
      </w:r>
      <w:r>
        <w:t xml:space="preserve"> Preventive | </w:t>
      </w:r>
      <w:r>
        <w:rPr>
          <w:rStyle w:val="Emphasis"/>
          <w:rFonts w:eastAsiaTheme="majorEastAsia"/>
        </w:rPr>
        <w:t>Frequency:</w:t>
      </w:r>
      <w:r>
        <w:t xml:space="preserve"> Annually | </w:t>
      </w:r>
      <w:r>
        <w:rPr>
          <w:rStyle w:val="Emphasis"/>
          <w:rFonts w:eastAsiaTheme="majorEastAsia"/>
        </w:rPr>
        <w:t>Owner:</w:t>
      </w:r>
      <w:r>
        <w:t xml:space="preserve"> CFO Office / External Consultant</w:t>
      </w:r>
    </w:p>
    <w:p w14:paraId="124DB4B8" w14:textId="77777777" w:rsidR="00C24BA0" w:rsidRDefault="00C24BA0" w:rsidP="00C24BA0">
      <w:r>
        <w:pict w14:anchorId="2A005732">
          <v:rect id="_x0000_i1056" style="width:0;height:1.5pt" o:hralign="center" o:hrstd="t" o:hr="t" fillcolor="#a0a0a0" stroked="f"/>
        </w:pict>
      </w:r>
    </w:p>
    <w:p w14:paraId="4A1AB436" w14:textId="77777777" w:rsidR="00C24BA0" w:rsidRDefault="00C24BA0" w:rsidP="00C24BA0">
      <w:pPr>
        <w:pStyle w:val="Heading4"/>
      </w:pPr>
      <w:r>
        <w:t>4.3.3 Audit Trails &amp; Record Keeping</w:t>
      </w:r>
    </w:p>
    <w:p w14:paraId="7D804C63" w14:textId="77777777" w:rsidR="00C24BA0" w:rsidRDefault="00C24BA0" w:rsidP="00C24BA0">
      <w:pPr>
        <w:pStyle w:val="NormalWeb"/>
        <w:numPr>
          <w:ilvl w:val="0"/>
          <w:numId w:val="24"/>
        </w:numPr>
      </w:pPr>
      <w:r>
        <w:rPr>
          <w:rStyle w:val="Strong"/>
        </w:rPr>
        <w:t>4.3.3.1 Audit Trail Preservation</w:t>
      </w:r>
      <w:r>
        <w:br/>
        <w:t>All critical systems maintain immutable audit logs. Changes, approvals, and data access are timestamped and encrypted.</w:t>
      </w:r>
      <w:r>
        <w:br/>
      </w:r>
      <w:r>
        <w:rPr>
          <w:rStyle w:val="Emphasis"/>
          <w:rFonts w:eastAsiaTheme="majorEastAsia"/>
        </w:rPr>
        <w:t>Control Type:</w:t>
      </w:r>
      <w:r>
        <w:t xml:space="preserve"> Detective | </w:t>
      </w:r>
      <w:r>
        <w:rPr>
          <w:rStyle w:val="Emphasis"/>
          <w:rFonts w:eastAsiaTheme="majorEastAsia"/>
        </w:rPr>
        <w:t>Frequency:</w:t>
      </w:r>
      <w:r>
        <w:t xml:space="preserve"> Continuous | </w:t>
      </w:r>
      <w:r>
        <w:rPr>
          <w:rStyle w:val="Emphasis"/>
          <w:rFonts w:eastAsiaTheme="majorEastAsia"/>
        </w:rPr>
        <w:t>Owner:</w:t>
      </w:r>
      <w:r>
        <w:t xml:space="preserve"> Information Security Team</w:t>
      </w:r>
    </w:p>
    <w:p w14:paraId="3DFF6AD3" w14:textId="18F43B08" w:rsidR="00C24BA0" w:rsidRDefault="00C24BA0" w:rsidP="00C24BA0">
      <w:pPr>
        <w:pStyle w:val="NormalWeb"/>
        <w:numPr>
          <w:ilvl w:val="0"/>
          <w:numId w:val="24"/>
        </w:numPr>
      </w:pPr>
      <w:r>
        <w:rPr>
          <w:rStyle w:val="Strong"/>
        </w:rPr>
        <w:t>4.3.3.2 Document Retention Policy</w:t>
      </w:r>
      <w:r>
        <w:br/>
        <w:t>Data and document retention is aligned to regulatory mandates (e.g., 8 years for KYC, 10 years for audit records). Enforcement is automated via DMS.</w:t>
      </w:r>
      <w:r>
        <w:br/>
      </w:r>
      <w:r>
        <w:rPr>
          <w:rStyle w:val="Emphasis"/>
          <w:rFonts w:eastAsiaTheme="majorEastAsia"/>
        </w:rPr>
        <w:t>Control Type:</w:t>
      </w:r>
      <w:r>
        <w:t xml:space="preserve"> Preventive | </w:t>
      </w:r>
      <w:r>
        <w:rPr>
          <w:rStyle w:val="Emphasis"/>
          <w:rFonts w:eastAsiaTheme="majorEastAsia"/>
        </w:rPr>
        <w:t>Frequency:</w:t>
      </w:r>
      <w:r>
        <w:t xml:space="preserve"> Continuous | </w:t>
      </w:r>
      <w:r>
        <w:rPr>
          <w:rStyle w:val="Emphasis"/>
          <w:rFonts w:eastAsiaTheme="majorEastAsia"/>
        </w:rPr>
        <w:t>Owner:</w:t>
      </w:r>
      <w:r>
        <w:t xml:space="preserve"> Legal &amp; Records Management</w:t>
      </w:r>
    </w:p>
    <w:p w14:paraId="168323B8" w14:textId="77777777" w:rsidR="00DB6168" w:rsidRDefault="00DB6168" w:rsidP="00DB6168">
      <w:pPr>
        <w:pStyle w:val="Heading2"/>
      </w:pPr>
      <w:r>
        <w:lastRenderedPageBreak/>
        <w:t>5. Monitoring &amp; Reporting</w:t>
      </w:r>
    </w:p>
    <w:p w14:paraId="3FFE00C4" w14:textId="77777777" w:rsidR="00DB6168" w:rsidRDefault="00DB6168" w:rsidP="00DB6168">
      <w:pPr>
        <w:pStyle w:val="NormalWeb"/>
      </w:pPr>
      <w:r>
        <w:t xml:space="preserve">The effectiveness of RBEYOND’s internal control environment is sustained through continuous </w:t>
      </w:r>
      <w:r>
        <w:rPr>
          <w:rStyle w:val="Strong"/>
        </w:rPr>
        <w:t>monitoring mechanisms, structured reporting frameworks, and timely escalation protocols</w:t>
      </w:r>
      <w:r>
        <w:t>. This ensures that control breaches, emerging risks, and process inefficiencies are identified, remediated, and communicated to relevant stakeholders proactively.</w:t>
      </w:r>
    </w:p>
    <w:p w14:paraId="0E703E84" w14:textId="77777777" w:rsidR="00DB6168" w:rsidRDefault="00DB6168" w:rsidP="00DB6168">
      <w:r>
        <w:pict w14:anchorId="439A0148">
          <v:rect id="_x0000_i1067" style="width:0;height:1.5pt" o:hralign="center" o:hrstd="t" o:hr="t" fillcolor="#a0a0a0" stroked="f"/>
        </w:pict>
      </w:r>
    </w:p>
    <w:p w14:paraId="031B033B" w14:textId="77777777" w:rsidR="00DB6168" w:rsidRDefault="00DB6168" w:rsidP="00DB6168">
      <w:pPr>
        <w:pStyle w:val="Heading3"/>
      </w:pPr>
      <w:r>
        <w:t>5.1 Key Performance Indicators (KPIs) &amp; Key Risk Indicators (KRIs)</w:t>
      </w:r>
    </w:p>
    <w:p w14:paraId="3E57A788" w14:textId="77777777" w:rsidR="00DB6168" w:rsidRDefault="00DB6168" w:rsidP="00DB6168">
      <w:pPr>
        <w:pStyle w:val="NormalWeb"/>
      </w:pPr>
      <w:r>
        <w:t xml:space="preserve">RBEYOND utilizes </w:t>
      </w:r>
      <w:r>
        <w:rPr>
          <w:rStyle w:val="Strong"/>
        </w:rPr>
        <w:t>quantitative control metrics</w:t>
      </w:r>
      <w:r>
        <w:t xml:space="preserve"> to assess operational health and risk exposure across business functions. These indicators are tracked regularly and reviewed by the Risk Committee, Control Owners, and Business Heads to identify control failures, emerging trends, and exceptions.</w:t>
      </w:r>
    </w:p>
    <w:p w14:paraId="43C2CF9F" w14:textId="77777777" w:rsidR="00DB6168" w:rsidRDefault="00DB6168" w:rsidP="00DB6168">
      <w:pPr>
        <w:pStyle w:val="Heading4"/>
      </w:pPr>
      <w:r>
        <w:t>5.1.1 Key Performance Indicators (KPIs)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7"/>
        <w:gridCol w:w="3117"/>
        <w:gridCol w:w="648"/>
        <w:gridCol w:w="1012"/>
        <w:gridCol w:w="1502"/>
      </w:tblGrid>
      <w:tr w:rsidR="00DB6168" w14:paraId="17D14D7F" w14:textId="77777777" w:rsidTr="00DB6168">
        <w:trPr>
          <w:tblHeader/>
          <w:tblCellSpacing w:w="15" w:type="dxa"/>
        </w:trPr>
        <w:tc>
          <w:tcPr>
            <w:tcW w:w="0" w:type="auto"/>
            <w:vAlign w:val="center"/>
            <w:hideMark/>
          </w:tcPr>
          <w:p w14:paraId="23A3CE9F" w14:textId="77777777" w:rsidR="00DB6168" w:rsidRDefault="00DB6168">
            <w:pPr>
              <w:jc w:val="center"/>
              <w:rPr>
                <w:b/>
                <w:bCs/>
              </w:rPr>
            </w:pPr>
            <w:r>
              <w:rPr>
                <w:b/>
                <w:bCs/>
              </w:rPr>
              <w:t>KPI Name</w:t>
            </w:r>
          </w:p>
        </w:tc>
        <w:tc>
          <w:tcPr>
            <w:tcW w:w="0" w:type="auto"/>
            <w:vAlign w:val="center"/>
            <w:hideMark/>
          </w:tcPr>
          <w:p w14:paraId="5E3A64A7" w14:textId="77777777" w:rsidR="00DB6168" w:rsidRDefault="00DB6168">
            <w:pPr>
              <w:jc w:val="center"/>
              <w:rPr>
                <w:b/>
                <w:bCs/>
              </w:rPr>
            </w:pPr>
            <w:r>
              <w:rPr>
                <w:b/>
                <w:bCs/>
              </w:rPr>
              <w:t>Description</w:t>
            </w:r>
          </w:p>
        </w:tc>
        <w:tc>
          <w:tcPr>
            <w:tcW w:w="0" w:type="auto"/>
            <w:vAlign w:val="center"/>
            <w:hideMark/>
          </w:tcPr>
          <w:p w14:paraId="01345208" w14:textId="77777777" w:rsidR="00DB6168" w:rsidRDefault="00DB6168">
            <w:pPr>
              <w:jc w:val="center"/>
              <w:rPr>
                <w:b/>
                <w:bCs/>
              </w:rPr>
            </w:pPr>
            <w:r>
              <w:rPr>
                <w:b/>
                <w:bCs/>
              </w:rPr>
              <w:t>Target</w:t>
            </w:r>
          </w:p>
        </w:tc>
        <w:tc>
          <w:tcPr>
            <w:tcW w:w="0" w:type="auto"/>
            <w:vAlign w:val="center"/>
            <w:hideMark/>
          </w:tcPr>
          <w:p w14:paraId="4F3BBDF2" w14:textId="77777777" w:rsidR="00DB6168" w:rsidRDefault="00DB6168">
            <w:pPr>
              <w:jc w:val="center"/>
              <w:rPr>
                <w:b/>
                <w:bCs/>
              </w:rPr>
            </w:pPr>
            <w:r>
              <w:rPr>
                <w:b/>
                <w:bCs/>
              </w:rPr>
              <w:t>Frequency</w:t>
            </w:r>
          </w:p>
        </w:tc>
        <w:tc>
          <w:tcPr>
            <w:tcW w:w="0" w:type="auto"/>
            <w:vAlign w:val="center"/>
            <w:hideMark/>
          </w:tcPr>
          <w:p w14:paraId="41F2B9DE" w14:textId="77777777" w:rsidR="00DB6168" w:rsidRDefault="00DB6168">
            <w:pPr>
              <w:jc w:val="center"/>
              <w:rPr>
                <w:b/>
                <w:bCs/>
              </w:rPr>
            </w:pPr>
            <w:r>
              <w:rPr>
                <w:b/>
                <w:bCs/>
              </w:rPr>
              <w:t>Owner</w:t>
            </w:r>
          </w:p>
        </w:tc>
      </w:tr>
      <w:tr w:rsidR="00DB6168" w14:paraId="189192F8" w14:textId="77777777" w:rsidTr="00DB6168">
        <w:trPr>
          <w:tblCellSpacing w:w="15" w:type="dxa"/>
        </w:trPr>
        <w:tc>
          <w:tcPr>
            <w:tcW w:w="0" w:type="auto"/>
            <w:vAlign w:val="center"/>
            <w:hideMark/>
          </w:tcPr>
          <w:p w14:paraId="5396BE6D" w14:textId="77777777" w:rsidR="00DB6168" w:rsidRDefault="00DB6168">
            <w:r>
              <w:t>Control Test Coverage</w:t>
            </w:r>
          </w:p>
        </w:tc>
        <w:tc>
          <w:tcPr>
            <w:tcW w:w="0" w:type="auto"/>
            <w:vAlign w:val="center"/>
            <w:hideMark/>
          </w:tcPr>
          <w:p w14:paraId="59144BC4" w14:textId="77777777" w:rsidR="00DB6168" w:rsidRDefault="00DB6168">
            <w:r>
              <w:t xml:space="preserve">% </w:t>
            </w:r>
            <w:proofErr w:type="gramStart"/>
            <w:r>
              <w:t>of</w:t>
            </w:r>
            <w:proofErr w:type="gramEnd"/>
            <w:r>
              <w:t xml:space="preserve"> controls tested in the control inventory</w:t>
            </w:r>
          </w:p>
        </w:tc>
        <w:tc>
          <w:tcPr>
            <w:tcW w:w="0" w:type="auto"/>
            <w:vAlign w:val="center"/>
            <w:hideMark/>
          </w:tcPr>
          <w:p w14:paraId="7AAB74D1" w14:textId="77777777" w:rsidR="00DB6168" w:rsidRDefault="00DB6168">
            <w:r>
              <w:t>≥ 95%</w:t>
            </w:r>
          </w:p>
        </w:tc>
        <w:tc>
          <w:tcPr>
            <w:tcW w:w="0" w:type="auto"/>
            <w:vAlign w:val="center"/>
            <w:hideMark/>
          </w:tcPr>
          <w:p w14:paraId="1EAD753B" w14:textId="77777777" w:rsidR="00DB6168" w:rsidRDefault="00DB6168">
            <w:r>
              <w:t>Quarterly</w:t>
            </w:r>
          </w:p>
        </w:tc>
        <w:tc>
          <w:tcPr>
            <w:tcW w:w="0" w:type="auto"/>
            <w:vAlign w:val="center"/>
            <w:hideMark/>
          </w:tcPr>
          <w:p w14:paraId="7F772349" w14:textId="77777777" w:rsidR="00DB6168" w:rsidRDefault="00DB6168">
            <w:r>
              <w:t>Internal Audit</w:t>
            </w:r>
          </w:p>
        </w:tc>
      </w:tr>
      <w:tr w:rsidR="00DB6168" w14:paraId="5CC85457" w14:textId="77777777" w:rsidTr="00DB6168">
        <w:trPr>
          <w:tblCellSpacing w:w="15" w:type="dxa"/>
        </w:trPr>
        <w:tc>
          <w:tcPr>
            <w:tcW w:w="0" w:type="auto"/>
            <w:vAlign w:val="center"/>
            <w:hideMark/>
          </w:tcPr>
          <w:p w14:paraId="23BFF9DB" w14:textId="77777777" w:rsidR="00DB6168" w:rsidRDefault="00DB6168">
            <w:r>
              <w:t>Timely Closure of Issues</w:t>
            </w:r>
          </w:p>
        </w:tc>
        <w:tc>
          <w:tcPr>
            <w:tcW w:w="0" w:type="auto"/>
            <w:vAlign w:val="center"/>
            <w:hideMark/>
          </w:tcPr>
          <w:p w14:paraId="16E0FE29" w14:textId="77777777" w:rsidR="00DB6168" w:rsidRDefault="00DB6168">
            <w:r>
              <w:t xml:space="preserve">% </w:t>
            </w:r>
            <w:proofErr w:type="gramStart"/>
            <w:r>
              <w:t>of</w:t>
            </w:r>
            <w:proofErr w:type="gramEnd"/>
            <w:r>
              <w:t xml:space="preserve"> control issues remediated within deadline</w:t>
            </w:r>
          </w:p>
        </w:tc>
        <w:tc>
          <w:tcPr>
            <w:tcW w:w="0" w:type="auto"/>
            <w:vAlign w:val="center"/>
            <w:hideMark/>
          </w:tcPr>
          <w:p w14:paraId="508315D4" w14:textId="77777777" w:rsidR="00DB6168" w:rsidRDefault="00DB6168">
            <w:r>
              <w:t>≥ 90%</w:t>
            </w:r>
          </w:p>
        </w:tc>
        <w:tc>
          <w:tcPr>
            <w:tcW w:w="0" w:type="auto"/>
            <w:vAlign w:val="center"/>
            <w:hideMark/>
          </w:tcPr>
          <w:p w14:paraId="4FE942ED" w14:textId="77777777" w:rsidR="00DB6168" w:rsidRDefault="00DB6168">
            <w:r>
              <w:t>Monthly</w:t>
            </w:r>
          </w:p>
        </w:tc>
        <w:tc>
          <w:tcPr>
            <w:tcW w:w="0" w:type="auto"/>
            <w:vAlign w:val="center"/>
            <w:hideMark/>
          </w:tcPr>
          <w:p w14:paraId="42B960EE" w14:textId="77777777" w:rsidR="00DB6168" w:rsidRDefault="00DB6168">
            <w:r>
              <w:t>Risk Owners</w:t>
            </w:r>
          </w:p>
        </w:tc>
      </w:tr>
      <w:tr w:rsidR="00DB6168" w14:paraId="1CA082DE" w14:textId="77777777" w:rsidTr="00DB6168">
        <w:trPr>
          <w:tblCellSpacing w:w="15" w:type="dxa"/>
        </w:trPr>
        <w:tc>
          <w:tcPr>
            <w:tcW w:w="0" w:type="auto"/>
            <w:vAlign w:val="center"/>
            <w:hideMark/>
          </w:tcPr>
          <w:p w14:paraId="0C586B32" w14:textId="77777777" w:rsidR="00DB6168" w:rsidRDefault="00DB6168">
            <w:r>
              <w:t>Reconciliation Timeliness</w:t>
            </w:r>
          </w:p>
        </w:tc>
        <w:tc>
          <w:tcPr>
            <w:tcW w:w="0" w:type="auto"/>
            <w:vAlign w:val="center"/>
            <w:hideMark/>
          </w:tcPr>
          <w:p w14:paraId="37150B9F" w14:textId="77777777" w:rsidR="00DB6168" w:rsidRDefault="00DB6168">
            <w:r>
              <w:t xml:space="preserve">% </w:t>
            </w:r>
            <w:proofErr w:type="gramStart"/>
            <w:r>
              <w:t>of</w:t>
            </w:r>
            <w:proofErr w:type="gramEnd"/>
            <w:r>
              <w:t xml:space="preserve"> accounts reconciled within defined TAT</w:t>
            </w:r>
          </w:p>
        </w:tc>
        <w:tc>
          <w:tcPr>
            <w:tcW w:w="0" w:type="auto"/>
            <w:vAlign w:val="center"/>
            <w:hideMark/>
          </w:tcPr>
          <w:p w14:paraId="3D6B9DEA" w14:textId="77777777" w:rsidR="00DB6168" w:rsidRDefault="00DB6168">
            <w:r>
              <w:t>100%</w:t>
            </w:r>
          </w:p>
        </w:tc>
        <w:tc>
          <w:tcPr>
            <w:tcW w:w="0" w:type="auto"/>
            <w:vAlign w:val="center"/>
            <w:hideMark/>
          </w:tcPr>
          <w:p w14:paraId="6495FAF7" w14:textId="77777777" w:rsidR="00DB6168" w:rsidRDefault="00DB6168">
            <w:r>
              <w:t>Monthly</w:t>
            </w:r>
          </w:p>
        </w:tc>
        <w:tc>
          <w:tcPr>
            <w:tcW w:w="0" w:type="auto"/>
            <w:vAlign w:val="center"/>
            <w:hideMark/>
          </w:tcPr>
          <w:p w14:paraId="68C9B137" w14:textId="77777777" w:rsidR="00DB6168" w:rsidRDefault="00DB6168">
            <w:r>
              <w:t>Finance Team</w:t>
            </w:r>
          </w:p>
        </w:tc>
      </w:tr>
      <w:tr w:rsidR="00DB6168" w14:paraId="4E027EB1" w14:textId="77777777" w:rsidTr="00DB6168">
        <w:trPr>
          <w:tblCellSpacing w:w="15" w:type="dxa"/>
        </w:trPr>
        <w:tc>
          <w:tcPr>
            <w:tcW w:w="0" w:type="auto"/>
            <w:vAlign w:val="center"/>
            <w:hideMark/>
          </w:tcPr>
          <w:p w14:paraId="54C94A1A" w14:textId="77777777" w:rsidR="00DB6168" w:rsidRDefault="00DB6168">
            <w:r>
              <w:t>Month-End Close Adherence</w:t>
            </w:r>
          </w:p>
        </w:tc>
        <w:tc>
          <w:tcPr>
            <w:tcW w:w="0" w:type="auto"/>
            <w:vAlign w:val="center"/>
            <w:hideMark/>
          </w:tcPr>
          <w:p w14:paraId="492C9DEA" w14:textId="77777777" w:rsidR="00DB6168" w:rsidRDefault="00DB6168">
            <w:r>
              <w:t xml:space="preserve">% </w:t>
            </w:r>
            <w:proofErr w:type="gramStart"/>
            <w:r>
              <w:t>of</w:t>
            </w:r>
            <w:proofErr w:type="gramEnd"/>
            <w:r>
              <w:t xml:space="preserve"> departments closing books within 5 days</w:t>
            </w:r>
          </w:p>
        </w:tc>
        <w:tc>
          <w:tcPr>
            <w:tcW w:w="0" w:type="auto"/>
            <w:vAlign w:val="center"/>
            <w:hideMark/>
          </w:tcPr>
          <w:p w14:paraId="4FB2E503" w14:textId="77777777" w:rsidR="00DB6168" w:rsidRDefault="00DB6168">
            <w:r>
              <w:t>≥ 95%</w:t>
            </w:r>
          </w:p>
        </w:tc>
        <w:tc>
          <w:tcPr>
            <w:tcW w:w="0" w:type="auto"/>
            <w:vAlign w:val="center"/>
            <w:hideMark/>
          </w:tcPr>
          <w:p w14:paraId="1D08771D" w14:textId="77777777" w:rsidR="00DB6168" w:rsidRDefault="00DB6168">
            <w:r>
              <w:t>Monthly</w:t>
            </w:r>
          </w:p>
        </w:tc>
        <w:tc>
          <w:tcPr>
            <w:tcW w:w="0" w:type="auto"/>
            <w:vAlign w:val="center"/>
            <w:hideMark/>
          </w:tcPr>
          <w:p w14:paraId="68CE50E6" w14:textId="77777777" w:rsidR="00DB6168" w:rsidRDefault="00DB6168">
            <w:r>
              <w:t>Financial Controller</w:t>
            </w:r>
          </w:p>
        </w:tc>
      </w:tr>
      <w:tr w:rsidR="00DB6168" w14:paraId="4B5B1780" w14:textId="77777777" w:rsidTr="00DB6168">
        <w:trPr>
          <w:tblCellSpacing w:w="15" w:type="dxa"/>
        </w:trPr>
        <w:tc>
          <w:tcPr>
            <w:tcW w:w="0" w:type="auto"/>
            <w:vAlign w:val="center"/>
            <w:hideMark/>
          </w:tcPr>
          <w:p w14:paraId="50C31ECC" w14:textId="77777777" w:rsidR="00DB6168" w:rsidRDefault="00DB6168">
            <w:r>
              <w:t>SLA Adherence (Transaction Approvals)</w:t>
            </w:r>
          </w:p>
        </w:tc>
        <w:tc>
          <w:tcPr>
            <w:tcW w:w="0" w:type="auto"/>
            <w:vAlign w:val="center"/>
            <w:hideMark/>
          </w:tcPr>
          <w:p w14:paraId="6881516C" w14:textId="77777777" w:rsidR="00DB6168" w:rsidRDefault="00DB6168">
            <w:r>
              <w:t xml:space="preserve">% </w:t>
            </w:r>
            <w:proofErr w:type="gramStart"/>
            <w:r>
              <w:t>of</w:t>
            </w:r>
            <w:proofErr w:type="gramEnd"/>
            <w:r>
              <w:t xml:space="preserve"> transactions approved within SLA</w:t>
            </w:r>
          </w:p>
        </w:tc>
        <w:tc>
          <w:tcPr>
            <w:tcW w:w="0" w:type="auto"/>
            <w:vAlign w:val="center"/>
            <w:hideMark/>
          </w:tcPr>
          <w:p w14:paraId="441D89DB" w14:textId="77777777" w:rsidR="00DB6168" w:rsidRDefault="00DB6168">
            <w:r>
              <w:t>≥ 98%</w:t>
            </w:r>
          </w:p>
        </w:tc>
        <w:tc>
          <w:tcPr>
            <w:tcW w:w="0" w:type="auto"/>
            <w:vAlign w:val="center"/>
            <w:hideMark/>
          </w:tcPr>
          <w:p w14:paraId="3C3E666F" w14:textId="77777777" w:rsidR="00DB6168" w:rsidRDefault="00DB6168">
            <w:r>
              <w:t>Monthly</w:t>
            </w:r>
          </w:p>
        </w:tc>
        <w:tc>
          <w:tcPr>
            <w:tcW w:w="0" w:type="auto"/>
            <w:vAlign w:val="center"/>
            <w:hideMark/>
          </w:tcPr>
          <w:p w14:paraId="40EC7BED" w14:textId="77777777" w:rsidR="00DB6168" w:rsidRDefault="00DB6168">
            <w:r>
              <w:t>Process Owners</w:t>
            </w:r>
          </w:p>
        </w:tc>
      </w:tr>
    </w:tbl>
    <w:p w14:paraId="00A172A1" w14:textId="77777777" w:rsidR="00DB6168" w:rsidRDefault="00DB6168" w:rsidP="00DB6168">
      <w:pPr>
        <w:pStyle w:val="Heading4"/>
      </w:pPr>
      <w:r>
        <w:t>5.1.2 Key Risk Indicators (KRIs)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2721"/>
        <w:gridCol w:w="1565"/>
        <w:gridCol w:w="1012"/>
        <w:gridCol w:w="1471"/>
      </w:tblGrid>
      <w:tr w:rsidR="00DB6168" w14:paraId="59A47A46" w14:textId="77777777" w:rsidTr="00DB6168">
        <w:trPr>
          <w:tblHeader/>
          <w:tblCellSpacing w:w="15" w:type="dxa"/>
        </w:trPr>
        <w:tc>
          <w:tcPr>
            <w:tcW w:w="0" w:type="auto"/>
            <w:vAlign w:val="center"/>
            <w:hideMark/>
          </w:tcPr>
          <w:p w14:paraId="4CB737E5" w14:textId="77777777" w:rsidR="00DB6168" w:rsidRDefault="00DB6168">
            <w:pPr>
              <w:jc w:val="center"/>
              <w:rPr>
                <w:b/>
                <w:bCs/>
              </w:rPr>
            </w:pPr>
            <w:r>
              <w:rPr>
                <w:b/>
                <w:bCs/>
              </w:rPr>
              <w:t>KRI Name</w:t>
            </w:r>
          </w:p>
        </w:tc>
        <w:tc>
          <w:tcPr>
            <w:tcW w:w="0" w:type="auto"/>
            <w:vAlign w:val="center"/>
            <w:hideMark/>
          </w:tcPr>
          <w:p w14:paraId="2BE828E1" w14:textId="77777777" w:rsidR="00DB6168" w:rsidRDefault="00DB6168">
            <w:pPr>
              <w:jc w:val="center"/>
              <w:rPr>
                <w:b/>
                <w:bCs/>
              </w:rPr>
            </w:pPr>
            <w:r>
              <w:rPr>
                <w:b/>
                <w:bCs/>
              </w:rPr>
              <w:t>Description</w:t>
            </w:r>
          </w:p>
        </w:tc>
        <w:tc>
          <w:tcPr>
            <w:tcW w:w="0" w:type="auto"/>
            <w:vAlign w:val="center"/>
            <w:hideMark/>
          </w:tcPr>
          <w:p w14:paraId="04751922" w14:textId="77777777" w:rsidR="00DB6168" w:rsidRDefault="00DB6168">
            <w:pPr>
              <w:jc w:val="center"/>
              <w:rPr>
                <w:b/>
                <w:bCs/>
              </w:rPr>
            </w:pPr>
            <w:r>
              <w:rPr>
                <w:b/>
                <w:bCs/>
              </w:rPr>
              <w:t>Tolerance Threshold</w:t>
            </w:r>
          </w:p>
        </w:tc>
        <w:tc>
          <w:tcPr>
            <w:tcW w:w="0" w:type="auto"/>
            <w:vAlign w:val="center"/>
            <w:hideMark/>
          </w:tcPr>
          <w:p w14:paraId="1B51D537" w14:textId="77777777" w:rsidR="00DB6168" w:rsidRDefault="00DB6168">
            <w:pPr>
              <w:jc w:val="center"/>
              <w:rPr>
                <w:b/>
                <w:bCs/>
              </w:rPr>
            </w:pPr>
            <w:r>
              <w:rPr>
                <w:b/>
                <w:bCs/>
              </w:rPr>
              <w:t>Frequency</w:t>
            </w:r>
          </w:p>
        </w:tc>
        <w:tc>
          <w:tcPr>
            <w:tcW w:w="0" w:type="auto"/>
            <w:vAlign w:val="center"/>
            <w:hideMark/>
          </w:tcPr>
          <w:p w14:paraId="2D6D6ABC" w14:textId="77777777" w:rsidR="00DB6168" w:rsidRDefault="00DB6168">
            <w:pPr>
              <w:jc w:val="center"/>
              <w:rPr>
                <w:b/>
                <w:bCs/>
              </w:rPr>
            </w:pPr>
            <w:r>
              <w:rPr>
                <w:b/>
                <w:bCs/>
              </w:rPr>
              <w:t>Monitoring Unit</w:t>
            </w:r>
          </w:p>
        </w:tc>
      </w:tr>
      <w:tr w:rsidR="00DB6168" w14:paraId="47B0E717" w14:textId="77777777" w:rsidTr="00DB6168">
        <w:trPr>
          <w:tblCellSpacing w:w="15" w:type="dxa"/>
        </w:trPr>
        <w:tc>
          <w:tcPr>
            <w:tcW w:w="0" w:type="auto"/>
            <w:vAlign w:val="center"/>
            <w:hideMark/>
          </w:tcPr>
          <w:p w14:paraId="15F3B051" w14:textId="77777777" w:rsidR="00DB6168" w:rsidRDefault="00DB6168">
            <w:r>
              <w:t>System Downtime</w:t>
            </w:r>
          </w:p>
        </w:tc>
        <w:tc>
          <w:tcPr>
            <w:tcW w:w="0" w:type="auto"/>
            <w:vAlign w:val="center"/>
            <w:hideMark/>
          </w:tcPr>
          <w:p w14:paraId="40BFC195" w14:textId="77777777" w:rsidR="00DB6168" w:rsidRDefault="00DB6168">
            <w:r>
              <w:t>Minutes of unplanned core system downtime</w:t>
            </w:r>
          </w:p>
        </w:tc>
        <w:tc>
          <w:tcPr>
            <w:tcW w:w="0" w:type="auto"/>
            <w:vAlign w:val="center"/>
            <w:hideMark/>
          </w:tcPr>
          <w:p w14:paraId="177246C6" w14:textId="77777777" w:rsidR="00DB6168" w:rsidRDefault="00DB6168">
            <w:r>
              <w:t>&lt; 60 mins/month</w:t>
            </w:r>
          </w:p>
        </w:tc>
        <w:tc>
          <w:tcPr>
            <w:tcW w:w="0" w:type="auto"/>
            <w:vAlign w:val="center"/>
            <w:hideMark/>
          </w:tcPr>
          <w:p w14:paraId="1611E503" w14:textId="77777777" w:rsidR="00DB6168" w:rsidRDefault="00DB6168">
            <w:r>
              <w:t>Monthly</w:t>
            </w:r>
          </w:p>
        </w:tc>
        <w:tc>
          <w:tcPr>
            <w:tcW w:w="0" w:type="auto"/>
            <w:vAlign w:val="center"/>
            <w:hideMark/>
          </w:tcPr>
          <w:p w14:paraId="478B57B7" w14:textId="77777777" w:rsidR="00DB6168" w:rsidRDefault="00DB6168">
            <w:r>
              <w:t>IT Ops</w:t>
            </w:r>
          </w:p>
        </w:tc>
      </w:tr>
      <w:tr w:rsidR="00DB6168" w14:paraId="50037525" w14:textId="77777777" w:rsidTr="00DB6168">
        <w:trPr>
          <w:tblCellSpacing w:w="15" w:type="dxa"/>
        </w:trPr>
        <w:tc>
          <w:tcPr>
            <w:tcW w:w="0" w:type="auto"/>
            <w:vAlign w:val="center"/>
            <w:hideMark/>
          </w:tcPr>
          <w:p w14:paraId="689E2E80" w14:textId="77777777" w:rsidR="00DB6168" w:rsidRDefault="00DB6168">
            <w:r>
              <w:t>Failed Logins (Security Risk)</w:t>
            </w:r>
          </w:p>
        </w:tc>
        <w:tc>
          <w:tcPr>
            <w:tcW w:w="0" w:type="auto"/>
            <w:vAlign w:val="center"/>
            <w:hideMark/>
          </w:tcPr>
          <w:p w14:paraId="176AD9D7" w14:textId="77777777" w:rsidR="00DB6168" w:rsidRDefault="00DB6168">
            <w:r>
              <w:t>Count of failed privileged access attempts</w:t>
            </w:r>
          </w:p>
        </w:tc>
        <w:tc>
          <w:tcPr>
            <w:tcW w:w="0" w:type="auto"/>
            <w:vAlign w:val="center"/>
            <w:hideMark/>
          </w:tcPr>
          <w:p w14:paraId="7933D1D0" w14:textId="77777777" w:rsidR="00DB6168" w:rsidRDefault="00DB6168">
            <w:r>
              <w:t>&lt; 50/month</w:t>
            </w:r>
          </w:p>
        </w:tc>
        <w:tc>
          <w:tcPr>
            <w:tcW w:w="0" w:type="auto"/>
            <w:vAlign w:val="center"/>
            <w:hideMark/>
          </w:tcPr>
          <w:p w14:paraId="5405080E" w14:textId="77777777" w:rsidR="00DB6168" w:rsidRDefault="00DB6168">
            <w:r>
              <w:t>Weekly</w:t>
            </w:r>
          </w:p>
        </w:tc>
        <w:tc>
          <w:tcPr>
            <w:tcW w:w="0" w:type="auto"/>
            <w:vAlign w:val="center"/>
            <w:hideMark/>
          </w:tcPr>
          <w:p w14:paraId="6012E5B7" w14:textId="77777777" w:rsidR="00DB6168" w:rsidRDefault="00DB6168">
            <w:r>
              <w:t>CISO</w:t>
            </w:r>
          </w:p>
        </w:tc>
      </w:tr>
      <w:tr w:rsidR="00DB6168" w14:paraId="31624A84" w14:textId="77777777" w:rsidTr="00DB6168">
        <w:trPr>
          <w:tblCellSpacing w:w="15" w:type="dxa"/>
        </w:trPr>
        <w:tc>
          <w:tcPr>
            <w:tcW w:w="0" w:type="auto"/>
            <w:vAlign w:val="center"/>
            <w:hideMark/>
          </w:tcPr>
          <w:p w14:paraId="2FB1FA36" w14:textId="77777777" w:rsidR="00DB6168" w:rsidRDefault="00DB6168">
            <w:r>
              <w:lastRenderedPageBreak/>
              <w:t>Suspicious Transactions Flagged</w:t>
            </w:r>
          </w:p>
        </w:tc>
        <w:tc>
          <w:tcPr>
            <w:tcW w:w="0" w:type="auto"/>
            <w:vAlign w:val="center"/>
            <w:hideMark/>
          </w:tcPr>
          <w:p w14:paraId="59D8C76D" w14:textId="77777777" w:rsidR="00DB6168" w:rsidRDefault="00DB6168">
            <w:r>
              <w:t xml:space="preserve">% </w:t>
            </w:r>
            <w:proofErr w:type="gramStart"/>
            <w:r>
              <w:t>of</w:t>
            </w:r>
            <w:proofErr w:type="gramEnd"/>
            <w:r>
              <w:t xml:space="preserve"> transactions flagged by AML engine</w:t>
            </w:r>
          </w:p>
        </w:tc>
        <w:tc>
          <w:tcPr>
            <w:tcW w:w="0" w:type="auto"/>
            <w:vAlign w:val="center"/>
            <w:hideMark/>
          </w:tcPr>
          <w:p w14:paraId="6C678A52" w14:textId="77777777" w:rsidR="00DB6168" w:rsidRDefault="00DB6168">
            <w:r>
              <w:t>&lt; 0.1% of total</w:t>
            </w:r>
          </w:p>
        </w:tc>
        <w:tc>
          <w:tcPr>
            <w:tcW w:w="0" w:type="auto"/>
            <w:vAlign w:val="center"/>
            <w:hideMark/>
          </w:tcPr>
          <w:p w14:paraId="5B3250F1" w14:textId="77777777" w:rsidR="00DB6168" w:rsidRDefault="00DB6168">
            <w:r>
              <w:t>Daily</w:t>
            </w:r>
          </w:p>
        </w:tc>
        <w:tc>
          <w:tcPr>
            <w:tcW w:w="0" w:type="auto"/>
            <w:vAlign w:val="center"/>
            <w:hideMark/>
          </w:tcPr>
          <w:p w14:paraId="34580FC8" w14:textId="77777777" w:rsidR="00DB6168" w:rsidRDefault="00DB6168">
            <w:r>
              <w:t>AML Unit</w:t>
            </w:r>
          </w:p>
        </w:tc>
      </w:tr>
      <w:tr w:rsidR="00DB6168" w14:paraId="5C4C4BFF" w14:textId="77777777" w:rsidTr="00DB6168">
        <w:trPr>
          <w:tblCellSpacing w:w="15" w:type="dxa"/>
        </w:trPr>
        <w:tc>
          <w:tcPr>
            <w:tcW w:w="0" w:type="auto"/>
            <w:vAlign w:val="center"/>
            <w:hideMark/>
          </w:tcPr>
          <w:p w14:paraId="22D18225" w14:textId="77777777" w:rsidR="00DB6168" w:rsidRDefault="00DB6168">
            <w:r>
              <w:t>Audit Issues Rated “High”</w:t>
            </w:r>
          </w:p>
        </w:tc>
        <w:tc>
          <w:tcPr>
            <w:tcW w:w="0" w:type="auto"/>
            <w:vAlign w:val="center"/>
            <w:hideMark/>
          </w:tcPr>
          <w:p w14:paraId="5A7A9743" w14:textId="77777777" w:rsidR="00DB6168" w:rsidRDefault="00DB6168">
            <w:r>
              <w:t>Number of open high-risk audit issues</w:t>
            </w:r>
          </w:p>
        </w:tc>
        <w:tc>
          <w:tcPr>
            <w:tcW w:w="0" w:type="auto"/>
            <w:vAlign w:val="center"/>
            <w:hideMark/>
          </w:tcPr>
          <w:p w14:paraId="2C09CCAB" w14:textId="77777777" w:rsidR="00DB6168" w:rsidRDefault="00DB6168">
            <w:r>
              <w:t>0</w:t>
            </w:r>
          </w:p>
        </w:tc>
        <w:tc>
          <w:tcPr>
            <w:tcW w:w="0" w:type="auto"/>
            <w:vAlign w:val="center"/>
            <w:hideMark/>
          </w:tcPr>
          <w:p w14:paraId="0EFD821C" w14:textId="77777777" w:rsidR="00DB6168" w:rsidRDefault="00DB6168">
            <w:r>
              <w:t>Monthly</w:t>
            </w:r>
          </w:p>
        </w:tc>
        <w:tc>
          <w:tcPr>
            <w:tcW w:w="0" w:type="auto"/>
            <w:vAlign w:val="center"/>
            <w:hideMark/>
          </w:tcPr>
          <w:p w14:paraId="2E751250" w14:textId="77777777" w:rsidR="00DB6168" w:rsidRDefault="00DB6168">
            <w:r>
              <w:t>Internal Audit</w:t>
            </w:r>
          </w:p>
        </w:tc>
      </w:tr>
      <w:tr w:rsidR="00DB6168" w14:paraId="0D02641F" w14:textId="77777777" w:rsidTr="00DB6168">
        <w:trPr>
          <w:tblCellSpacing w:w="15" w:type="dxa"/>
        </w:trPr>
        <w:tc>
          <w:tcPr>
            <w:tcW w:w="0" w:type="auto"/>
            <w:vAlign w:val="center"/>
            <w:hideMark/>
          </w:tcPr>
          <w:p w14:paraId="760C53AB" w14:textId="77777777" w:rsidR="00DB6168" w:rsidRDefault="00DB6168">
            <w:r>
              <w:t>Non-Compliant Regulatory Reports</w:t>
            </w:r>
          </w:p>
        </w:tc>
        <w:tc>
          <w:tcPr>
            <w:tcW w:w="0" w:type="auto"/>
            <w:vAlign w:val="center"/>
            <w:hideMark/>
          </w:tcPr>
          <w:p w14:paraId="51F2C5C0" w14:textId="77777777" w:rsidR="00DB6168" w:rsidRDefault="00DB6168">
            <w:r>
              <w:t>Missed or inaccurate regulatory filings</w:t>
            </w:r>
          </w:p>
        </w:tc>
        <w:tc>
          <w:tcPr>
            <w:tcW w:w="0" w:type="auto"/>
            <w:vAlign w:val="center"/>
            <w:hideMark/>
          </w:tcPr>
          <w:p w14:paraId="69992FB0" w14:textId="77777777" w:rsidR="00DB6168" w:rsidRDefault="00DB6168">
            <w:r>
              <w:t>0</w:t>
            </w:r>
          </w:p>
        </w:tc>
        <w:tc>
          <w:tcPr>
            <w:tcW w:w="0" w:type="auto"/>
            <w:vAlign w:val="center"/>
            <w:hideMark/>
          </w:tcPr>
          <w:p w14:paraId="34C76415" w14:textId="77777777" w:rsidR="00DB6168" w:rsidRDefault="00DB6168">
            <w:r>
              <w:t>Monthly</w:t>
            </w:r>
          </w:p>
        </w:tc>
        <w:tc>
          <w:tcPr>
            <w:tcW w:w="0" w:type="auto"/>
            <w:vAlign w:val="center"/>
            <w:hideMark/>
          </w:tcPr>
          <w:p w14:paraId="605737BE" w14:textId="77777777" w:rsidR="00DB6168" w:rsidRDefault="00DB6168">
            <w:r>
              <w:t>Compliance Officer</w:t>
            </w:r>
          </w:p>
        </w:tc>
      </w:tr>
    </w:tbl>
    <w:p w14:paraId="2FC7A28C" w14:textId="77777777" w:rsidR="00DB6168" w:rsidRDefault="00DB6168" w:rsidP="00DB6168">
      <w:pPr>
        <w:pStyle w:val="NormalWeb"/>
      </w:pPr>
      <w:r>
        <w:t xml:space="preserve">These indicators are embedded within the </w:t>
      </w:r>
      <w:r>
        <w:rPr>
          <w:rStyle w:val="Strong"/>
        </w:rPr>
        <w:t>ERM Dashboard</w:t>
      </w:r>
      <w:r>
        <w:t>, accessible by management and the Board.</w:t>
      </w:r>
    </w:p>
    <w:p w14:paraId="18B3B1EC" w14:textId="77777777" w:rsidR="00DB6168" w:rsidRDefault="00DB6168" w:rsidP="00DB6168">
      <w:r>
        <w:pict w14:anchorId="063003FF">
          <v:rect id="_x0000_i1068" style="width:0;height:1.5pt" o:hralign="center" o:hrstd="t" o:hr="t" fillcolor="#a0a0a0" stroked="f"/>
        </w:pict>
      </w:r>
    </w:p>
    <w:p w14:paraId="40BD7523" w14:textId="77777777" w:rsidR="00DB6168" w:rsidRDefault="00DB6168" w:rsidP="00DB6168">
      <w:pPr>
        <w:pStyle w:val="Heading3"/>
      </w:pPr>
      <w:r>
        <w:t>5.2 Internal Audit Findings &amp; Remediation Plans</w:t>
      </w:r>
    </w:p>
    <w:p w14:paraId="3F43A7B7" w14:textId="77777777" w:rsidR="00DB6168" w:rsidRDefault="00DB6168" w:rsidP="00DB6168">
      <w:pPr>
        <w:pStyle w:val="NormalWeb"/>
      </w:pPr>
      <w:r>
        <w:t xml:space="preserve">RBEYOND maintains an </w:t>
      </w:r>
      <w:r>
        <w:rPr>
          <w:rStyle w:val="Strong"/>
        </w:rPr>
        <w:t>independent Internal Audit Function</w:t>
      </w:r>
      <w:r>
        <w:t>, reporting to the Audit Committee, which conducts regular risk-based audits of business processes, IT controls, and compliance domains.</w:t>
      </w:r>
    </w:p>
    <w:p w14:paraId="2185F5D1" w14:textId="77777777" w:rsidR="00DB6168" w:rsidRDefault="00DB6168" w:rsidP="00DB6168">
      <w:pPr>
        <w:pStyle w:val="NormalWeb"/>
        <w:numPr>
          <w:ilvl w:val="0"/>
          <w:numId w:val="25"/>
        </w:numPr>
      </w:pPr>
      <w:r>
        <w:rPr>
          <w:rStyle w:val="Strong"/>
        </w:rPr>
        <w:t>Audit Planning:</w:t>
      </w:r>
      <w:r>
        <w:br/>
        <w:t>Based on annual risk assessments and past audit history, critical processes and high-risk areas are prioritized.</w:t>
      </w:r>
    </w:p>
    <w:p w14:paraId="2B3420B4" w14:textId="77777777" w:rsidR="00DB6168" w:rsidRDefault="00DB6168" w:rsidP="00DB6168">
      <w:pPr>
        <w:pStyle w:val="NormalWeb"/>
        <w:numPr>
          <w:ilvl w:val="0"/>
          <w:numId w:val="25"/>
        </w:numPr>
      </w:pPr>
      <w:r>
        <w:rPr>
          <w:rStyle w:val="Strong"/>
        </w:rPr>
        <w:t>Findings Classification:</w:t>
      </w:r>
      <w:r>
        <w:br/>
        <w:t xml:space="preserve">Audit findings are rated as </w:t>
      </w:r>
      <w:r>
        <w:rPr>
          <w:rStyle w:val="Emphasis"/>
          <w:rFonts w:eastAsiaTheme="majorEastAsia"/>
        </w:rPr>
        <w:t>High</w:t>
      </w:r>
      <w:r>
        <w:t xml:space="preserve">, </w:t>
      </w:r>
      <w:r>
        <w:rPr>
          <w:rStyle w:val="Emphasis"/>
          <w:rFonts w:eastAsiaTheme="majorEastAsia"/>
        </w:rPr>
        <w:t>Medium</w:t>
      </w:r>
      <w:r>
        <w:t xml:space="preserve">, or </w:t>
      </w:r>
      <w:r>
        <w:rPr>
          <w:rStyle w:val="Emphasis"/>
          <w:rFonts w:eastAsiaTheme="majorEastAsia"/>
        </w:rPr>
        <w:t>Low</w:t>
      </w:r>
      <w:r>
        <w:t xml:space="preserve"> based on potential impact and likelihood.</w:t>
      </w:r>
    </w:p>
    <w:p w14:paraId="09D761B3" w14:textId="77777777" w:rsidR="00DB6168" w:rsidRDefault="00DB6168" w:rsidP="00DB6168">
      <w:pPr>
        <w:pStyle w:val="NormalWeb"/>
        <w:numPr>
          <w:ilvl w:val="0"/>
          <w:numId w:val="25"/>
        </w:numPr>
      </w:pPr>
      <w:r>
        <w:rPr>
          <w:rStyle w:val="Strong"/>
        </w:rPr>
        <w:t>Remediation Tracking:</w:t>
      </w:r>
      <w:r>
        <w:br/>
        <w:t xml:space="preserve">All findings are entered into the </w:t>
      </w:r>
      <w:r>
        <w:rPr>
          <w:rStyle w:val="Strong"/>
        </w:rPr>
        <w:t>Issue Management Tracker (IMT)</w:t>
      </w:r>
      <w:r>
        <w:t xml:space="preserve"> with assigned owners and closure timelines. Progress is reviewed weekly.</w:t>
      </w:r>
    </w:p>
    <w:p w14:paraId="26CBCE5F" w14:textId="77777777" w:rsidR="00DB6168" w:rsidRDefault="00DB6168" w:rsidP="00DB6168">
      <w:pPr>
        <w:pStyle w:val="NormalWeb"/>
        <w:numPr>
          <w:ilvl w:val="0"/>
          <w:numId w:val="25"/>
        </w:numPr>
      </w:pPr>
      <w:r>
        <w:rPr>
          <w:rStyle w:val="Strong"/>
        </w:rPr>
        <w:t>Audit Committee Oversight:</w:t>
      </w:r>
      <w:r>
        <w:br/>
        <w:t>Outstanding high-priority issues are escalated to the Audit Committee in quarterly meetings. Any issue open for &gt;90 days beyond deadline is flagged for executive attention.</w:t>
      </w:r>
    </w:p>
    <w:p w14:paraId="73B8CAC8" w14:textId="77777777" w:rsidR="00DB6168" w:rsidRDefault="00DB6168" w:rsidP="00DB6168">
      <w:pPr>
        <w:pStyle w:val="NormalWeb"/>
        <w:numPr>
          <w:ilvl w:val="0"/>
          <w:numId w:val="25"/>
        </w:numPr>
      </w:pPr>
      <w:r>
        <w:rPr>
          <w:rStyle w:val="Strong"/>
        </w:rPr>
        <w:t>Root Cause Analysis:</w:t>
      </w:r>
      <w:r>
        <w:br/>
        <w:t>For repeat issues or systemic failures, root cause analysis (RCA) is mandatory, along with a sustainable action plan signed off by senior management.</w:t>
      </w:r>
    </w:p>
    <w:p w14:paraId="1348444F" w14:textId="77777777" w:rsidR="00DB6168" w:rsidRDefault="00DB6168" w:rsidP="00DB6168">
      <w:r>
        <w:pict w14:anchorId="7B160322">
          <v:rect id="_x0000_i1069" style="width:0;height:1.5pt" o:hralign="center" o:hrstd="t" o:hr="t" fillcolor="#a0a0a0" stroked="f"/>
        </w:pict>
      </w:r>
    </w:p>
    <w:p w14:paraId="567142AB" w14:textId="77777777" w:rsidR="00DB6168" w:rsidRDefault="00DB6168" w:rsidP="00DB6168">
      <w:pPr>
        <w:pStyle w:val="Heading3"/>
      </w:pPr>
      <w:r>
        <w:t>5.3 Management Reporting</w:t>
      </w:r>
    </w:p>
    <w:p w14:paraId="52178E42" w14:textId="77777777" w:rsidR="00DB6168" w:rsidRDefault="00DB6168" w:rsidP="00DB6168">
      <w:pPr>
        <w:pStyle w:val="NormalWeb"/>
      </w:pPr>
      <w:r>
        <w:t>RBEYOND ensures timely and insightful reporting to decision-makers at all levels to maintain effective control oversight.</w:t>
      </w:r>
    </w:p>
    <w:p w14:paraId="6CB968A5" w14:textId="77777777" w:rsidR="00DB6168" w:rsidRDefault="00DB6168" w:rsidP="00DB6168">
      <w:pPr>
        <w:pStyle w:val="Heading4"/>
      </w:pPr>
      <w:r>
        <w:t>5.3.1 Executive Dashboard</w:t>
      </w:r>
    </w:p>
    <w:p w14:paraId="1FF066A6" w14:textId="77777777" w:rsidR="00DB6168" w:rsidRDefault="00DB6168" w:rsidP="00DB6168">
      <w:pPr>
        <w:pStyle w:val="NormalWeb"/>
      </w:pPr>
      <w:r>
        <w:lastRenderedPageBreak/>
        <w:t xml:space="preserve">A centralized </w:t>
      </w:r>
      <w:r>
        <w:rPr>
          <w:rStyle w:val="Strong"/>
        </w:rPr>
        <w:t>Risk &amp; Control Dashboard</w:t>
      </w:r>
      <w:r>
        <w:t xml:space="preserve"> (built in Power BI) provides visual summaries of:</w:t>
      </w:r>
    </w:p>
    <w:p w14:paraId="649EA693" w14:textId="77777777" w:rsidR="00DB6168" w:rsidRDefault="00DB6168" w:rsidP="00DB6168">
      <w:pPr>
        <w:pStyle w:val="NormalWeb"/>
        <w:numPr>
          <w:ilvl w:val="0"/>
          <w:numId w:val="26"/>
        </w:numPr>
      </w:pPr>
      <w:r>
        <w:t>Control status (active, ineffective, overdue for review)</w:t>
      </w:r>
    </w:p>
    <w:p w14:paraId="35693F0D" w14:textId="77777777" w:rsidR="00DB6168" w:rsidRDefault="00DB6168" w:rsidP="00DB6168">
      <w:pPr>
        <w:pStyle w:val="NormalWeb"/>
        <w:numPr>
          <w:ilvl w:val="0"/>
          <w:numId w:val="26"/>
        </w:numPr>
      </w:pPr>
      <w:r>
        <w:t>Open audit findings by severity</w:t>
      </w:r>
    </w:p>
    <w:p w14:paraId="21A4B3E9" w14:textId="77777777" w:rsidR="00DB6168" w:rsidRDefault="00DB6168" w:rsidP="00DB6168">
      <w:pPr>
        <w:pStyle w:val="NormalWeb"/>
        <w:numPr>
          <w:ilvl w:val="0"/>
          <w:numId w:val="26"/>
        </w:numPr>
      </w:pPr>
      <w:r>
        <w:t>Control test results and evidence health</w:t>
      </w:r>
    </w:p>
    <w:p w14:paraId="4696B17C" w14:textId="77777777" w:rsidR="00DB6168" w:rsidRDefault="00DB6168" w:rsidP="00DB6168">
      <w:pPr>
        <w:pStyle w:val="NormalWeb"/>
        <w:numPr>
          <w:ilvl w:val="0"/>
          <w:numId w:val="26"/>
        </w:numPr>
      </w:pPr>
      <w:r>
        <w:t>Emerging risks and threshold breaches (KRIs)</w:t>
      </w:r>
    </w:p>
    <w:p w14:paraId="1E23B299" w14:textId="77777777" w:rsidR="00DB6168" w:rsidRDefault="00DB6168" w:rsidP="00DB6168">
      <w:pPr>
        <w:pStyle w:val="NormalWeb"/>
        <w:numPr>
          <w:ilvl w:val="0"/>
          <w:numId w:val="26"/>
        </w:numPr>
      </w:pPr>
      <w:r>
        <w:t>Control owner performance and accountability</w:t>
      </w:r>
    </w:p>
    <w:p w14:paraId="5A87552C" w14:textId="77777777" w:rsidR="00DB6168" w:rsidRDefault="00DB6168" w:rsidP="00DB6168">
      <w:pPr>
        <w:pStyle w:val="NormalWeb"/>
      </w:pPr>
      <w:r>
        <w:t>The dashboard is accessible to the CRO, CFO, CISO, and the CEO’s Office, with filters for business unit, geography, and control category.</w:t>
      </w:r>
    </w:p>
    <w:p w14:paraId="14DB5EAA" w14:textId="77777777" w:rsidR="00DB6168" w:rsidRDefault="00DB6168" w:rsidP="00DB6168">
      <w:pPr>
        <w:pStyle w:val="Heading4"/>
      </w:pPr>
      <w:r>
        <w:t>5.3.2 Monthly MIS Pack</w:t>
      </w:r>
    </w:p>
    <w:p w14:paraId="3ECB65E4" w14:textId="77777777" w:rsidR="00DB6168" w:rsidRDefault="00DB6168" w:rsidP="00DB6168">
      <w:pPr>
        <w:pStyle w:val="NormalWeb"/>
      </w:pPr>
      <w:r>
        <w:t xml:space="preserve">Each month, a </w:t>
      </w:r>
      <w:r>
        <w:rPr>
          <w:rStyle w:val="Strong"/>
        </w:rPr>
        <w:t>Management Information System (MIS) Pack</w:t>
      </w:r>
      <w:r>
        <w:t xml:space="preserve"> is circulated to relevant departments and senior leaders, containing:</w:t>
      </w:r>
    </w:p>
    <w:p w14:paraId="1C10B645" w14:textId="77777777" w:rsidR="00DB6168" w:rsidRDefault="00DB6168" w:rsidP="00DB6168">
      <w:pPr>
        <w:pStyle w:val="NormalWeb"/>
        <w:numPr>
          <w:ilvl w:val="0"/>
          <w:numId w:val="27"/>
        </w:numPr>
      </w:pPr>
      <w:r>
        <w:t>Summary of control breaches and exceptions</w:t>
      </w:r>
    </w:p>
    <w:p w14:paraId="482D31C2" w14:textId="77777777" w:rsidR="00DB6168" w:rsidRDefault="00DB6168" w:rsidP="00DB6168">
      <w:pPr>
        <w:pStyle w:val="NormalWeb"/>
        <w:numPr>
          <w:ilvl w:val="0"/>
          <w:numId w:val="27"/>
        </w:numPr>
      </w:pPr>
      <w:r>
        <w:t>Key KPIs and KRIs</w:t>
      </w:r>
    </w:p>
    <w:p w14:paraId="08DABE44" w14:textId="77777777" w:rsidR="00DB6168" w:rsidRDefault="00DB6168" w:rsidP="00DB6168">
      <w:pPr>
        <w:pStyle w:val="NormalWeb"/>
        <w:numPr>
          <w:ilvl w:val="0"/>
          <w:numId w:val="27"/>
        </w:numPr>
      </w:pPr>
      <w:r>
        <w:t>Closed and overdue audit items</w:t>
      </w:r>
    </w:p>
    <w:p w14:paraId="4AC1E190" w14:textId="77777777" w:rsidR="00DB6168" w:rsidRDefault="00DB6168" w:rsidP="00DB6168">
      <w:pPr>
        <w:pStyle w:val="NormalWeb"/>
        <w:numPr>
          <w:ilvl w:val="0"/>
          <w:numId w:val="27"/>
        </w:numPr>
      </w:pPr>
      <w:r>
        <w:t>Compliance tracker (reporting calendar, upcoming filings)</w:t>
      </w:r>
    </w:p>
    <w:p w14:paraId="0AF72742" w14:textId="77777777" w:rsidR="00DB6168" w:rsidRDefault="00DB6168" w:rsidP="00DB6168">
      <w:pPr>
        <w:pStyle w:val="NormalWeb"/>
        <w:numPr>
          <w:ilvl w:val="0"/>
          <w:numId w:val="27"/>
        </w:numPr>
      </w:pPr>
      <w:r>
        <w:t>Control improvement initiatives in-flight</w:t>
      </w:r>
    </w:p>
    <w:p w14:paraId="46A9CF91" w14:textId="77777777" w:rsidR="00DB6168" w:rsidRDefault="00DB6168" w:rsidP="00DB6168">
      <w:pPr>
        <w:pStyle w:val="Heading4"/>
      </w:pPr>
      <w:r>
        <w:t>5.3.3 Escalation Protocols</w:t>
      </w:r>
    </w:p>
    <w:p w14:paraId="7B8CB72D" w14:textId="77777777" w:rsidR="00DB6168" w:rsidRDefault="00DB6168" w:rsidP="00DB6168">
      <w:pPr>
        <w:pStyle w:val="NormalWeb"/>
      </w:pPr>
      <w:r>
        <w:t>Escalation tiers are defined by severity and time-to-resolve: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3"/>
        <w:gridCol w:w="2524"/>
        <w:gridCol w:w="2149"/>
      </w:tblGrid>
      <w:tr w:rsidR="00DB6168" w14:paraId="1011E707" w14:textId="77777777" w:rsidTr="00DB6168">
        <w:trPr>
          <w:tblHeader/>
          <w:tblCellSpacing w:w="15" w:type="dxa"/>
        </w:trPr>
        <w:tc>
          <w:tcPr>
            <w:tcW w:w="0" w:type="auto"/>
            <w:vAlign w:val="center"/>
            <w:hideMark/>
          </w:tcPr>
          <w:p w14:paraId="605C40D1" w14:textId="77777777" w:rsidR="00DB6168" w:rsidRDefault="00DB6168">
            <w:pPr>
              <w:jc w:val="center"/>
              <w:rPr>
                <w:b/>
                <w:bCs/>
              </w:rPr>
            </w:pPr>
            <w:r>
              <w:rPr>
                <w:b/>
                <w:bCs/>
              </w:rPr>
              <w:t>Severity</w:t>
            </w:r>
          </w:p>
        </w:tc>
        <w:tc>
          <w:tcPr>
            <w:tcW w:w="0" w:type="auto"/>
            <w:vAlign w:val="center"/>
            <w:hideMark/>
          </w:tcPr>
          <w:p w14:paraId="4E2F7B59" w14:textId="77777777" w:rsidR="00DB6168" w:rsidRDefault="00DB6168">
            <w:pPr>
              <w:jc w:val="center"/>
              <w:rPr>
                <w:b/>
                <w:bCs/>
              </w:rPr>
            </w:pPr>
            <w:r>
              <w:rPr>
                <w:b/>
                <w:bCs/>
              </w:rPr>
              <w:t>Escalation Level</w:t>
            </w:r>
          </w:p>
        </w:tc>
        <w:tc>
          <w:tcPr>
            <w:tcW w:w="0" w:type="auto"/>
            <w:vAlign w:val="center"/>
            <w:hideMark/>
          </w:tcPr>
          <w:p w14:paraId="0E9BF4FB" w14:textId="77777777" w:rsidR="00DB6168" w:rsidRDefault="00DB6168">
            <w:pPr>
              <w:jc w:val="center"/>
              <w:rPr>
                <w:b/>
                <w:bCs/>
              </w:rPr>
            </w:pPr>
            <w:r>
              <w:rPr>
                <w:b/>
                <w:bCs/>
              </w:rPr>
              <w:t>Timeline</w:t>
            </w:r>
          </w:p>
        </w:tc>
      </w:tr>
      <w:tr w:rsidR="00DB6168" w14:paraId="03B3EE84" w14:textId="77777777" w:rsidTr="00DB6168">
        <w:trPr>
          <w:tblCellSpacing w:w="15" w:type="dxa"/>
        </w:trPr>
        <w:tc>
          <w:tcPr>
            <w:tcW w:w="0" w:type="auto"/>
            <w:vAlign w:val="center"/>
            <w:hideMark/>
          </w:tcPr>
          <w:p w14:paraId="19D8A09B" w14:textId="77777777" w:rsidR="00DB6168" w:rsidRDefault="00DB6168">
            <w:r>
              <w:t>High (e.g., fraud, data breach, regulatory violation)</w:t>
            </w:r>
          </w:p>
        </w:tc>
        <w:tc>
          <w:tcPr>
            <w:tcW w:w="0" w:type="auto"/>
            <w:vAlign w:val="center"/>
            <w:hideMark/>
          </w:tcPr>
          <w:p w14:paraId="26962277" w14:textId="77777777" w:rsidR="00DB6168" w:rsidRDefault="00DB6168">
            <w:r>
              <w:t>Board, CRO, CEO</w:t>
            </w:r>
          </w:p>
        </w:tc>
        <w:tc>
          <w:tcPr>
            <w:tcW w:w="0" w:type="auto"/>
            <w:vAlign w:val="center"/>
            <w:hideMark/>
          </w:tcPr>
          <w:p w14:paraId="68B505FF" w14:textId="77777777" w:rsidR="00DB6168" w:rsidRDefault="00DB6168">
            <w:r>
              <w:t>Immediate (within 2 hours)</w:t>
            </w:r>
          </w:p>
        </w:tc>
      </w:tr>
      <w:tr w:rsidR="00DB6168" w14:paraId="6379DB81" w14:textId="77777777" w:rsidTr="00DB6168">
        <w:trPr>
          <w:tblCellSpacing w:w="15" w:type="dxa"/>
        </w:trPr>
        <w:tc>
          <w:tcPr>
            <w:tcW w:w="0" w:type="auto"/>
            <w:vAlign w:val="center"/>
            <w:hideMark/>
          </w:tcPr>
          <w:p w14:paraId="28D2007E" w14:textId="77777777" w:rsidR="00DB6168" w:rsidRDefault="00DB6168">
            <w:r>
              <w:t>Medium (e.g., process breakdown, internal system failure)</w:t>
            </w:r>
          </w:p>
        </w:tc>
        <w:tc>
          <w:tcPr>
            <w:tcW w:w="0" w:type="auto"/>
            <w:vAlign w:val="center"/>
            <w:hideMark/>
          </w:tcPr>
          <w:p w14:paraId="1B69A0A4" w14:textId="77777777" w:rsidR="00DB6168" w:rsidRDefault="00DB6168">
            <w:r>
              <w:t>Function Head, Compliance, Risk</w:t>
            </w:r>
          </w:p>
        </w:tc>
        <w:tc>
          <w:tcPr>
            <w:tcW w:w="0" w:type="auto"/>
            <w:vAlign w:val="center"/>
            <w:hideMark/>
          </w:tcPr>
          <w:p w14:paraId="3E447644" w14:textId="77777777" w:rsidR="00DB6168" w:rsidRDefault="00DB6168">
            <w:r>
              <w:t>Within 24 hours</w:t>
            </w:r>
          </w:p>
        </w:tc>
      </w:tr>
      <w:tr w:rsidR="00DB6168" w14:paraId="40F8B2F9" w14:textId="77777777" w:rsidTr="00DB6168">
        <w:trPr>
          <w:tblCellSpacing w:w="15" w:type="dxa"/>
        </w:trPr>
        <w:tc>
          <w:tcPr>
            <w:tcW w:w="0" w:type="auto"/>
            <w:vAlign w:val="center"/>
            <w:hideMark/>
          </w:tcPr>
          <w:p w14:paraId="54E6C4AB" w14:textId="77777777" w:rsidR="00DB6168" w:rsidRDefault="00DB6168">
            <w:r>
              <w:t>Low (e.g., missed documentation, expired access logs)</w:t>
            </w:r>
          </w:p>
        </w:tc>
        <w:tc>
          <w:tcPr>
            <w:tcW w:w="0" w:type="auto"/>
            <w:vAlign w:val="center"/>
            <w:hideMark/>
          </w:tcPr>
          <w:p w14:paraId="3413C809" w14:textId="77777777" w:rsidR="00DB6168" w:rsidRDefault="00DB6168">
            <w:r>
              <w:t>Process Owner</w:t>
            </w:r>
          </w:p>
        </w:tc>
        <w:tc>
          <w:tcPr>
            <w:tcW w:w="0" w:type="auto"/>
            <w:vAlign w:val="center"/>
            <w:hideMark/>
          </w:tcPr>
          <w:p w14:paraId="75EDDB08" w14:textId="77777777" w:rsidR="00DB6168" w:rsidRDefault="00DB6168">
            <w:r>
              <w:t>Weekly Review</w:t>
            </w:r>
          </w:p>
        </w:tc>
      </w:tr>
    </w:tbl>
    <w:p w14:paraId="1FF6D80B" w14:textId="746760C2" w:rsidR="00DB6168" w:rsidRDefault="00DB6168" w:rsidP="00DB6168">
      <w:pPr>
        <w:pStyle w:val="NormalWeb"/>
      </w:pPr>
      <w:r>
        <w:t xml:space="preserve">Each incident report must include a classification, impact assessment, action owner, and resolution timeline. Incident logs are archived in the </w:t>
      </w:r>
      <w:r>
        <w:rPr>
          <w:rStyle w:val="Strong"/>
        </w:rPr>
        <w:t>GRC (Governance, Risk &amp; Compliance)</w:t>
      </w:r>
      <w:r>
        <w:t xml:space="preserve"> platform for audit and review purposes.</w:t>
      </w:r>
    </w:p>
    <w:p w14:paraId="550CDF19" w14:textId="77777777" w:rsidR="00DB6168" w:rsidRDefault="00DB6168" w:rsidP="00DB6168">
      <w:pPr>
        <w:pStyle w:val="Heading2"/>
      </w:pPr>
      <w:r>
        <w:t>6. Roles &amp; Responsibilities</w:t>
      </w:r>
    </w:p>
    <w:p w14:paraId="69D79853" w14:textId="77777777" w:rsidR="00DB6168" w:rsidRDefault="00DB6168" w:rsidP="00DB6168">
      <w:pPr>
        <w:pStyle w:val="NormalWeb"/>
      </w:pPr>
      <w:r>
        <w:t xml:space="preserve">A clear definition of roles and responsibilities is critical for the successful execution, monitoring, and improvement of the internal control environment at RBEYOND. This section defines the accountability framework under the </w:t>
      </w:r>
      <w:r>
        <w:rPr>
          <w:rStyle w:val="Strong"/>
        </w:rPr>
        <w:t xml:space="preserve">Three Lines of </w:t>
      </w:r>
      <w:proofErr w:type="spellStart"/>
      <w:r>
        <w:rPr>
          <w:rStyle w:val="Strong"/>
        </w:rPr>
        <w:t>Defense</w:t>
      </w:r>
      <w:proofErr w:type="spellEnd"/>
      <w:r>
        <w:rPr>
          <w:rStyle w:val="Strong"/>
        </w:rPr>
        <w:t xml:space="preserve"> (3LoD) Model</w:t>
      </w:r>
      <w:r>
        <w:t xml:space="preserve"> and establishes escalation pathways for unresolved control failures.</w:t>
      </w:r>
    </w:p>
    <w:p w14:paraId="0EFB849E" w14:textId="77777777" w:rsidR="00DB6168" w:rsidRDefault="00DB6168" w:rsidP="00DB6168">
      <w:r>
        <w:pict w14:anchorId="57BC2483">
          <v:rect id="_x0000_i1073" style="width:0;height:1.5pt" o:hralign="center" o:hrstd="t" o:hr="t" fillcolor="#a0a0a0" stroked="f"/>
        </w:pict>
      </w:r>
    </w:p>
    <w:p w14:paraId="621B5A6B" w14:textId="77777777" w:rsidR="00DB6168" w:rsidRDefault="00DB6168" w:rsidP="00DB6168">
      <w:pPr>
        <w:pStyle w:val="Heading3"/>
      </w:pPr>
      <w:r>
        <w:lastRenderedPageBreak/>
        <w:t>6.1 Control Owners</w:t>
      </w:r>
    </w:p>
    <w:p w14:paraId="4E689D7A" w14:textId="77777777" w:rsidR="00DB6168" w:rsidRDefault="00DB6168" w:rsidP="00DB6168">
      <w:pPr>
        <w:pStyle w:val="NormalWeb"/>
      </w:pPr>
      <w:r>
        <w:t xml:space="preserve">Control Owners are individuals or teams responsible for </w:t>
      </w:r>
      <w:r>
        <w:rPr>
          <w:rStyle w:val="Strong"/>
        </w:rPr>
        <w:t>implementing, executing, and maintaining internal controls</w:t>
      </w:r>
      <w:r>
        <w:t xml:space="preserve"> within their respective business functions. They are accountable for:</w:t>
      </w:r>
    </w:p>
    <w:p w14:paraId="1E6E2CA9" w14:textId="77777777" w:rsidR="00DB6168" w:rsidRDefault="00DB6168" w:rsidP="00DB6168">
      <w:pPr>
        <w:pStyle w:val="NormalWeb"/>
        <w:numPr>
          <w:ilvl w:val="0"/>
          <w:numId w:val="28"/>
        </w:numPr>
      </w:pPr>
      <w:r>
        <w:t>Ensuring controls are consistently performed as designed</w:t>
      </w:r>
    </w:p>
    <w:p w14:paraId="03B412FC" w14:textId="77777777" w:rsidR="00DB6168" w:rsidRDefault="00DB6168" w:rsidP="00DB6168">
      <w:pPr>
        <w:pStyle w:val="NormalWeb"/>
        <w:numPr>
          <w:ilvl w:val="0"/>
          <w:numId w:val="28"/>
        </w:numPr>
      </w:pPr>
      <w:r>
        <w:t>Retaining supporting documentation or system evidence</w:t>
      </w:r>
    </w:p>
    <w:p w14:paraId="2E48FAE1" w14:textId="77777777" w:rsidR="00DB6168" w:rsidRDefault="00DB6168" w:rsidP="00DB6168">
      <w:pPr>
        <w:pStyle w:val="NormalWeb"/>
        <w:numPr>
          <w:ilvl w:val="0"/>
          <w:numId w:val="28"/>
        </w:numPr>
      </w:pPr>
      <w:r>
        <w:t>Conducting self-assessments and risk awareness within their units</w:t>
      </w:r>
    </w:p>
    <w:p w14:paraId="40CD5F75" w14:textId="77777777" w:rsidR="00DB6168" w:rsidRDefault="00DB6168" w:rsidP="00DB6168">
      <w:pPr>
        <w:pStyle w:val="NormalWeb"/>
        <w:numPr>
          <w:ilvl w:val="0"/>
          <w:numId w:val="28"/>
        </w:numPr>
      </w:pPr>
      <w:r>
        <w:t>Responding to audit or compliance observations related to their controls</w:t>
      </w:r>
    </w:p>
    <w:p w14:paraId="21D3DD8D" w14:textId="77777777" w:rsidR="00DB6168" w:rsidRDefault="00DB6168" w:rsidP="00DB6168">
      <w:pPr>
        <w:pStyle w:val="NormalWeb"/>
        <w:numPr>
          <w:ilvl w:val="0"/>
          <w:numId w:val="28"/>
        </w:numPr>
      </w:pPr>
      <w:r>
        <w:t>Initiating remediation plans for failed or outdated controls</w:t>
      </w:r>
    </w:p>
    <w:p w14:paraId="57E74017" w14:textId="77777777" w:rsidR="00DB6168" w:rsidRDefault="00DB6168" w:rsidP="00DB6168">
      <w:pPr>
        <w:pStyle w:val="NormalWeb"/>
      </w:pPr>
      <w:r>
        <w:rPr>
          <w:rStyle w:val="Strong"/>
        </w:rPr>
        <w:t>Typical Control Owners</w:t>
      </w:r>
      <w:r>
        <w:t xml:space="preserve"> at RBEYOND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4524"/>
      </w:tblGrid>
      <w:tr w:rsidR="00DB6168" w14:paraId="6541752A" w14:textId="77777777" w:rsidTr="00DB6168">
        <w:trPr>
          <w:tblHeader/>
          <w:tblCellSpacing w:w="15" w:type="dxa"/>
        </w:trPr>
        <w:tc>
          <w:tcPr>
            <w:tcW w:w="0" w:type="auto"/>
            <w:vAlign w:val="center"/>
            <w:hideMark/>
          </w:tcPr>
          <w:p w14:paraId="5D929256" w14:textId="77777777" w:rsidR="00DB6168" w:rsidRDefault="00DB6168">
            <w:pPr>
              <w:jc w:val="center"/>
              <w:rPr>
                <w:b/>
                <w:bCs/>
              </w:rPr>
            </w:pPr>
            <w:r>
              <w:rPr>
                <w:b/>
                <w:bCs/>
              </w:rPr>
              <w:t>Role</w:t>
            </w:r>
          </w:p>
        </w:tc>
        <w:tc>
          <w:tcPr>
            <w:tcW w:w="0" w:type="auto"/>
            <w:vAlign w:val="center"/>
            <w:hideMark/>
          </w:tcPr>
          <w:p w14:paraId="5B04E13B" w14:textId="77777777" w:rsidR="00DB6168" w:rsidRDefault="00DB6168">
            <w:pPr>
              <w:jc w:val="center"/>
              <w:rPr>
                <w:b/>
                <w:bCs/>
              </w:rPr>
            </w:pPr>
            <w:r>
              <w:rPr>
                <w:b/>
                <w:bCs/>
              </w:rPr>
              <w:t>Example Control Area</w:t>
            </w:r>
          </w:p>
        </w:tc>
      </w:tr>
      <w:tr w:rsidR="00DB6168" w14:paraId="49B9E59F" w14:textId="77777777" w:rsidTr="00DB6168">
        <w:trPr>
          <w:tblCellSpacing w:w="15" w:type="dxa"/>
        </w:trPr>
        <w:tc>
          <w:tcPr>
            <w:tcW w:w="0" w:type="auto"/>
            <w:vAlign w:val="center"/>
            <w:hideMark/>
          </w:tcPr>
          <w:p w14:paraId="1B38B935" w14:textId="77777777" w:rsidR="00DB6168" w:rsidRDefault="00DB6168">
            <w:r>
              <w:t>Finance Controller</w:t>
            </w:r>
          </w:p>
        </w:tc>
        <w:tc>
          <w:tcPr>
            <w:tcW w:w="0" w:type="auto"/>
            <w:vAlign w:val="center"/>
            <w:hideMark/>
          </w:tcPr>
          <w:p w14:paraId="6A25DDC6" w14:textId="77777777" w:rsidR="00DB6168" w:rsidRDefault="00DB6168">
            <w:r>
              <w:t>GL Reconciliation, Journal Entries</w:t>
            </w:r>
          </w:p>
        </w:tc>
      </w:tr>
      <w:tr w:rsidR="00DB6168" w14:paraId="06A2BB72" w14:textId="77777777" w:rsidTr="00DB6168">
        <w:trPr>
          <w:tblCellSpacing w:w="15" w:type="dxa"/>
        </w:trPr>
        <w:tc>
          <w:tcPr>
            <w:tcW w:w="0" w:type="auto"/>
            <w:vAlign w:val="center"/>
            <w:hideMark/>
          </w:tcPr>
          <w:p w14:paraId="7BAAE5CA" w14:textId="77777777" w:rsidR="00DB6168" w:rsidRDefault="00DB6168">
            <w:r>
              <w:t>AML Compliance Lead</w:t>
            </w:r>
          </w:p>
        </w:tc>
        <w:tc>
          <w:tcPr>
            <w:tcW w:w="0" w:type="auto"/>
            <w:vAlign w:val="center"/>
            <w:hideMark/>
          </w:tcPr>
          <w:p w14:paraId="663E7F33" w14:textId="77777777" w:rsidR="00DB6168" w:rsidRDefault="00DB6168">
            <w:r>
              <w:t>Transaction Screening, AML Risk Rating</w:t>
            </w:r>
          </w:p>
        </w:tc>
      </w:tr>
      <w:tr w:rsidR="00DB6168" w14:paraId="69A2D8FF" w14:textId="77777777" w:rsidTr="00DB6168">
        <w:trPr>
          <w:tblCellSpacing w:w="15" w:type="dxa"/>
        </w:trPr>
        <w:tc>
          <w:tcPr>
            <w:tcW w:w="0" w:type="auto"/>
            <w:vAlign w:val="center"/>
            <w:hideMark/>
          </w:tcPr>
          <w:p w14:paraId="2BFDB7D1" w14:textId="77777777" w:rsidR="00DB6168" w:rsidRDefault="00DB6168">
            <w:r>
              <w:t>Treasury Head</w:t>
            </w:r>
          </w:p>
        </w:tc>
        <w:tc>
          <w:tcPr>
            <w:tcW w:w="0" w:type="auto"/>
            <w:vAlign w:val="center"/>
            <w:hideMark/>
          </w:tcPr>
          <w:p w14:paraId="3F8197A1" w14:textId="77777777" w:rsidR="00DB6168" w:rsidRDefault="00DB6168">
            <w:r>
              <w:t>Liquidity Reporting, Investment Limits</w:t>
            </w:r>
          </w:p>
        </w:tc>
      </w:tr>
      <w:tr w:rsidR="00DB6168" w14:paraId="02DC602E" w14:textId="77777777" w:rsidTr="00DB6168">
        <w:trPr>
          <w:tblCellSpacing w:w="15" w:type="dxa"/>
        </w:trPr>
        <w:tc>
          <w:tcPr>
            <w:tcW w:w="0" w:type="auto"/>
            <w:vAlign w:val="center"/>
            <w:hideMark/>
          </w:tcPr>
          <w:p w14:paraId="276BA2DA" w14:textId="77777777" w:rsidR="00DB6168" w:rsidRDefault="00DB6168">
            <w:r>
              <w:t>IT Security Manager</w:t>
            </w:r>
          </w:p>
        </w:tc>
        <w:tc>
          <w:tcPr>
            <w:tcW w:w="0" w:type="auto"/>
            <w:vAlign w:val="center"/>
            <w:hideMark/>
          </w:tcPr>
          <w:p w14:paraId="67535478" w14:textId="77777777" w:rsidR="00DB6168" w:rsidRDefault="00DB6168">
            <w:r>
              <w:t>Access Controls, Patch Management</w:t>
            </w:r>
          </w:p>
        </w:tc>
      </w:tr>
      <w:tr w:rsidR="00DB6168" w14:paraId="1DAAFC06" w14:textId="77777777" w:rsidTr="00DB6168">
        <w:trPr>
          <w:tblCellSpacing w:w="15" w:type="dxa"/>
        </w:trPr>
        <w:tc>
          <w:tcPr>
            <w:tcW w:w="0" w:type="auto"/>
            <w:vAlign w:val="center"/>
            <w:hideMark/>
          </w:tcPr>
          <w:p w14:paraId="5B627D5B" w14:textId="77777777" w:rsidR="00DB6168" w:rsidRDefault="00DB6168">
            <w:r>
              <w:t>Legal &amp; Compliance Officer</w:t>
            </w:r>
          </w:p>
        </w:tc>
        <w:tc>
          <w:tcPr>
            <w:tcW w:w="0" w:type="auto"/>
            <w:vAlign w:val="center"/>
            <w:hideMark/>
          </w:tcPr>
          <w:p w14:paraId="6C6FF230" w14:textId="77777777" w:rsidR="00DB6168" w:rsidRDefault="00DB6168">
            <w:r>
              <w:t>Regulatory Reporting, FATCA Compliance</w:t>
            </w:r>
          </w:p>
        </w:tc>
      </w:tr>
      <w:tr w:rsidR="00DB6168" w14:paraId="0EC31A21" w14:textId="77777777" w:rsidTr="00DB6168">
        <w:trPr>
          <w:tblCellSpacing w:w="15" w:type="dxa"/>
        </w:trPr>
        <w:tc>
          <w:tcPr>
            <w:tcW w:w="0" w:type="auto"/>
            <w:vAlign w:val="center"/>
            <w:hideMark/>
          </w:tcPr>
          <w:p w14:paraId="43932AE7" w14:textId="77777777" w:rsidR="00DB6168" w:rsidRDefault="00DB6168">
            <w:r>
              <w:t>Product Ops Lead</w:t>
            </w:r>
          </w:p>
        </w:tc>
        <w:tc>
          <w:tcPr>
            <w:tcW w:w="0" w:type="auto"/>
            <w:vAlign w:val="center"/>
            <w:hideMark/>
          </w:tcPr>
          <w:p w14:paraId="7FE1A6A6" w14:textId="77777777" w:rsidR="00DB6168" w:rsidRDefault="00DB6168">
            <w:proofErr w:type="spellStart"/>
            <w:r>
              <w:t>SoD</w:t>
            </w:r>
            <w:proofErr w:type="spellEnd"/>
            <w:r>
              <w:t xml:space="preserve"> Enforcement, Customer Onboarding Controls</w:t>
            </w:r>
          </w:p>
        </w:tc>
      </w:tr>
    </w:tbl>
    <w:p w14:paraId="6DCE2626" w14:textId="77777777" w:rsidR="00DB6168" w:rsidRDefault="00DB6168" w:rsidP="00DB6168">
      <w:pPr>
        <w:pStyle w:val="NormalWeb"/>
      </w:pPr>
      <w:r>
        <w:t>Each control in the Control Register is mapped to an identified Control Owner in accordance with process risk mapping.</w:t>
      </w:r>
    </w:p>
    <w:p w14:paraId="189A688F" w14:textId="77777777" w:rsidR="00DB6168" w:rsidRDefault="00DB6168" w:rsidP="00DB6168">
      <w:r>
        <w:pict w14:anchorId="67D1895C">
          <v:rect id="_x0000_i1074" style="width:0;height:1.5pt" o:hralign="center" o:hrstd="t" o:hr="t" fillcolor="#a0a0a0" stroked="f"/>
        </w:pict>
      </w:r>
    </w:p>
    <w:p w14:paraId="76A9E706" w14:textId="77777777" w:rsidR="00DB6168" w:rsidRDefault="00DB6168" w:rsidP="00DB6168">
      <w:pPr>
        <w:pStyle w:val="Heading3"/>
      </w:pPr>
      <w:r>
        <w:t>6.2 Control Reviewers</w:t>
      </w:r>
    </w:p>
    <w:p w14:paraId="6F10D068" w14:textId="77777777" w:rsidR="00DB6168" w:rsidRDefault="00DB6168" w:rsidP="00DB6168">
      <w:pPr>
        <w:pStyle w:val="NormalWeb"/>
      </w:pPr>
      <w:r>
        <w:t xml:space="preserve">Reviewers are </w:t>
      </w:r>
      <w:r>
        <w:rPr>
          <w:rStyle w:val="Strong"/>
        </w:rPr>
        <w:t>independent parties responsible for validating</w:t>
      </w:r>
      <w:r>
        <w:t xml:space="preserve"> </w:t>
      </w:r>
      <w:proofErr w:type="gramStart"/>
      <w:r>
        <w:t>that controls</w:t>
      </w:r>
      <w:proofErr w:type="gramEnd"/>
      <w:r>
        <w:t xml:space="preserve"> are:</w:t>
      </w:r>
    </w:p>
    <w:p w14:paraId="7318101A" w14:textId="77777777" w:rsidR="00DB6168" w:rsidRDefault="00DB6168" w:rsidP="00DB6168">
      <w:pPr>
        <w:pStyle w:val="NormalWeb"/>
        <w:numPr>
          <w:ilvl w:val="0"/>
          <w:numId w:val="29"/>
        </w:numPr>
      </w:pPr>
      <w:r>
        <w:t>Properly designed and implemented</w:t>
      </w:r>
    </w:p>
    <w:p w14:paraId="7D2EAC0E" w14:textId="77777777" w:rsidR="00DB6168" w:rsidRDefault="00DB6168" w:rsidP="00DB6168">
      <w:pPr>
        <w:pStyle w:val="NormalWeb"/>
        <w:numPr>
          <w:ilvl w:val="0"/>
          <w:numId w:val="29"/>
        </w:numPr>
      </w:pPr>
      <w:r>
        <w:t>Operating effectively on a consistent basis</w:t>
      </w:r>
    </w:p>
    <w:p w14:paraId="028B839C" w14:textId="77777777" w:rsidR="00DB6168" w:rsidRDefault="00DB6168" w:rsidP="00DB6168">
      <w:pPr>
        <w:pStyle w:val="NormalWeb"/>
        <w:numPr>
          <w:ilvl w:val="0"/>
          <w:numId w:val="29"/>
        </w:numPr>
      </w:pPr>
      <w:r>
        <w:t>Backed by sufficient evidence and audit trail</w:t>
      </w:r>
    </w:p>
    <w:p w14:paraId="3D44A827" w14:textId="77777777" w:rsidR="00DB6168" w:rsidRDefault="00DB6168" w:rsidP="00DB6168">
      <w:pPr>
        <w:pStyle w:val="NormalWeb"/>
      </w:pPr>
      <w:r>
        <w:t>Control Reviewers do not execute controls themselves. Their primary responsibilities include:</w:t>
      </w:r>
    </w:p>
    <w:p w14:paraId="0DF3A7A8" w14:textId="77777777" w:rsidR="00DB6168" w:rsidRDefault="00DB6168" w:rsidP="00DB6168">
      <w:pPr>
        <w:pStyle w:val="NormalWeb"/>
        <w:numPr>
          <w:ilvl w:val="0"/>
          <w:numId w:val="30"/>
        </w:numPr>
      </w:pPr>
      <w:r>
        <w:t>Reviewing control logs and documentation</w:t>
      </w:r>
    </w:p>
    <w:p w14:paraId="57738716" w14:textId="77777777" w:rsidR="00DB6168" w:rsidRDefault="00DB6168" w:rsidP="00DB6168">
      <w:pPr>
        <w:pStyle w:val="NormalWeb"/>
        <w:numPr>
          <w:ilvl w:val="0"/>
          <w:numId w:val="30"/>
        </w:numPr>
      </w:pPr>
      <w:r>
        <w:t>Verifying control test results and exceptions</w:t>
      </w:r>
    </w:p>
    <w:p w14:paraId="06123388" w14:textId="77777777" w:rsidR="00DB6168" w:rsidRDefault="00DB6168" w:rsidP="00DB6168">
      <w:pPr>
        <w:pStyle w:val="NormalWeb"/>
        <w:numPr>
          <w:ilvl w:val="0"/>
          <w:numId w:val="30"/>
        </w:numPr>
      </w:pPr>
      <w:r>
        <w:t>Signing off on periodic control assessments</w:t>
      </w:r>
    </w:p>
    <w:p w14:paraId="034FA866" w14:textId="77777777" w:rsidR="00DB6168" w:rsidRDefault="00DB6168" w:rsidP="00DB6168">
      <w:pPr>
        <w:pStyle w:val="NormalWeb"/>
        <w:numPr>
          <w:ilvl w:val="0"/>
          <w:numId w:val="30"/>
        </w:numPr>
      </w:pPr>
      <w:r>
        <w:t>Challenging control adequacy during risk reviews</w:t>
      </w:r>
    </w:p>
    <w:p w14:paraId="21FC092E" w14:textId="77777777" w:rsidR="00DB6168" w:rsidRDefault="00DB6168" w:rsidP="00DB6168">
      <w:pPr>
        <w:pStyle w:val="NormalWeb"/>
        <w:numPr>
          <w:ilvl w:val="0"/>
          <w:numId w:val="30"/>
        </w:numPr>
      </w:pPr>
      <w:r>
        <w:t>Validating remediation closures</w:t>
      </w:r>
    </w:p>
    <w:p w14:paraId="5CF8DF10" w14:textId="77777777" w:rsidR="00DB6168" w:rsidRDefault="00DB6168" w:rsidP="00DB6168">
      <w:pPr>
        <w:pStyle w:val="NormalWeb"/>
      </w:pPr>
      <w:r>
        <w:rPr>
          <w:rStyle w:val="Strong"/>
        </w:rPr>
        <w:lastRenderedPageBreak/>
        <w:t>Typical Control Reviewers</w:t>
      </w:r>
      <w:r>
        <w:t xml:space="preserve"> at RBEYOND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gridCol w:w="4925"/>
      </w:tblGrid>
      <w:tr w:rsidR="00DB6168" w14:paraId="334BDF0B" w14:textId="77777777" w:rsidTr="00DB6168">
        <w:trPr>
          <w:tblHeader/>
          <w:tblCellSpacing w:w="15" w:type="dxa"/>
        </w:trPr>
        <w:tc>
          <w:tcPr>
            <w:tcW w:w="0" w:type="auto"/>
            <w:vAlign w:val="center"/>
            <w:hideMark/>
          </w:tcPr>
          <w:p w14:paraId="52923FE1" w14:textId="77777777" w:rsidR="00DB6168" w:rsidRDefault="00DB6168">
            <w:pPr>
              <w:jc w:val="center"/>
              <w:rPr>
                <w:b/>
                <w:bCs/>
              </w:rPr>
            </w:pPr>
            <w:r>
              <w:rPr>
                <w:b/>
                <w:bCs/>
              </w:rPr>
              <w:t>Role</w:t>
            </w:r>
          </w:p>
        </w:tc>
        <w:tc>
          <w:tcPr>
            <w:tcW w:w="0" w:type="auto"/>
            <w:vAlign w:val="center"/>
            <w:hideMark/>
          </w:tcPr>
          <w:p w14:paraId="4FA97720" w14:textId="77777777" w:rsidR="00DB6168" w:rsidRDefault="00DB6168">
            <w:pPr>
              <w:jc w:val="center"/>
              <w:rPr>
                <w:b/>
                <w:bCs/>
              </w:rPr>
            </w:pPr>
            <w:r>
              <w:rPr>
                <w:b/>
                <w:bCs/>
              </w:rPr>
              <w:t>Review Focus Area</w:t>
            </w:r>
          </w:p>
        </w:tc>
      </w:tr>
      <w:tr w:rsidR="00DB6168" w14:paraId="7570A212" w14:textId="77777777" w:rsidTr="00DB6168">
        <w:trPr>
          <w:tblCellSpacing w:w="15" w:type="dxa"/>
        </w:trPr>
        <w:tc>
          <w:tcPr>
            <w:tcW w:w="0" w:type="auto"/>
            <w:vAlign w:val="center"/>
            <w:hideMark/>
          </w:tcPr>
          <w:p w14:paraId="00B8695D" w14:textId="77777777" w:rsidR="00DB6168" w:rsidRDefault="00DB6168">
            <w:r>
              <w:t>Internal Audit</w:t>
            </w:r>
          </w:p>
        </w:tc>
        <w:tc>
          <w:tcPr>
            <w:tcW w:w="0" w:type="auto"/>
            <w:vAlign w:val="center"/>
            <w:hideMark/>
          </w:tcPr>
          <w:p w14:paraId="3DAEC963" w14:textId="77777777" w:rsidR="00DB6168" w:rsidRDefault="00DB6168">
            <w:r>
              <w:t>Full-spectrum control testing and effectiveness review</w:t>
            </w:r>
          </w:p>
        </w:tc>
      </w:tr>
      <w:tr w:rsidR="00DB6168" w14:paraId="0BFD8A27" w14:textId="77777777" w:rsidTr="00DB6168">
        <w:trPr>
          <w:tblCellSpacing w:w="15" w:type="dxa"/>
        </w:trPr>
        <w:tc>
          <w:tcPr>
            <w:tcW w:w="0" w:type="auto"/>
            <w:vAlign w:val="center"/>
            <w:hideMark/>
          </w:tcPr>
          <w:p w14:paraId="7D06804D" w14:textId="77777777" w:rsidR="00DB6168" w:rsidRDefault="00DB6168">
            <w:r>
              <w:t>Risk &amp; Controls Team</w:t>
            </w:r>
          </w:p>
        </w:tc>
        <w:tc>
          <w:tcPr>
            <w:tcW w:w="0" w:type="auto"/>
            <w:vAlign w:val="center"/>
            <w:hideMark/>
          </w:tcPr>
          <w:p w14:paraId="7D74FC3C" w14:textId="77777777" w:rsidR="00DB6168" w:rsidRDefault="00DB6168">
            <w:r>
              <w:t xml:space="preserve">Design adequacy and </w:t>
            </w:r>
            <w:proofErr w:type="spellStart"/>
            <w:r>
              <w:t>SoD</w:t>
            </w:r>
            <w:proofErr w:type="spellEnd"/>
            <w:r>
              <w:t xml:space="preserve"> assessments</w:t>
            </w:r>
          </w:p>
        </w:tc>
      </w:tr>
      <w:tr w:rsidR="00DB6168" w14:paraId="58CFF7E5" w14:textId="77777777" w:rsidTr="00DB6168">
        <w:trPr>
          <w:tblCellSpacing w:w="15" w:type="dxa"/>
        </w:trPr>
        <w:tc>
          <w:tcPr>
            <w:tcW w:w="0" w:type="auto"/>
            <w:vAlign w:val="center"/>
            <w:hideMark/>
          </w:tcPr>
          <w:p w14:paraId="18A9B37E" w14:textId="77777777" w:rsidR="00DB6168" w:rsidRDefault="00DB6168">
            <w:r>
              <w:t>Chief Compliance Officer</w:t>
            </w:r>
          </w:p>
        </w:tc>
        <w:tc>
          <w:tcPr>
            <w:tcW w:w="0" w:type="auto"/>
            <w:vAlign w:val="center"/>
            <w:hideMark/>
          </w:tcPr>
          <w:p w14:paraId="41579A87" w14:textId="77777777" w:rsidR="00DB6168" w:rsidRDefault="00DB6168">
            <w:r>
              <w:t>Regulatory alignment and control sufficiency</w:t>
            </w:r>
          </w:p>
        </w:tc>
      </w:tr>
      <w:tr w:rsidR="00DB6168" w14:paraId="48454576" w14:textId="77777777" w:rsidTr="00DB6168">
        <w:trPr>
          <w:tblCellSpacing w:w="15" w:type="dxa"/>
        </w:trPr>
        <w:tc>
          <w:tcPr>
            <w:tcW w:w="0" w:type="auto"/>
            <w:vAlign w:val="center"/>
            <w:hideMark/>
          </w:tcPr>
          <w:p w14:paraId="3D65F7A4" w14:textId="77777777" w:rsidR="00DB6168" w:rsidRDefault="00DB6168">
            <w:r>
              <w:t>Chief Risk Officer</w:t>
            </w:r>
          </w:p>
        </w:tc>
        <w:tc>
          <w:tcPr>
            <w:tcW w:w="0" w:type="auto"/>
            <w:vAlign w:val="center"/>
            <w:hideMark/>
          </w:tcPr>
          <w:p w14:paraId="0BDA1431" w14:textId="77777777" w:rsidR="00DB6168" w:rsidRDefault="00DB6168">
            <w:r>
              <w:t>Enterprise risk mitigation and KRI thresholds</w:t>
            </w:r>
          </w:p>
        </w:tc>
      </w:tr>
      <w:tr w:rsidR="00DB6168" w14:paraId="60EF356C" w14:textId="77777777" w:rsidTr="00DB6168">
        <w:trPr>
          <w:tblCellSpacing w:w="15" w:type="dxa"/>
        </w:trPr>
        <w:tc>
          <w:tcPr>
            <w:tcW w:w="0" w:type="auto"/>
            <w:vAlign w:val="center"/>
            <w:hideMark/>
          </w:tcPr>
          <w:p w14:paraId="24869969" w14:textId="77777777" w:rsidR="00DB6168" w:rsidRDefault="00DB6168">
            <w:r>
              <w:t>Business Unit Heads</w:t>
            </w:r>
          </w:p>
        </w:tc>
        <w:tc>
          <w:tcPr>
            <w:tcW w:w="0" w:type="auto"/>
            <w:vAlign w:val="center"/>
            <w:hideMark/>
          </w:tcPr>
          <w:p w14:paraId="5AB806F1" w14:textId="77777777" w:rsidR="00DB6168" w:rsidRDefault="00DB6168">
            <w:r>
              <w:t>Department-level oversight and accountability</w:t>
            </w:r>
          </w:p>
        </w:tc>
      </w:tr>
    </w:tbl>
    <w:p w14:paraId="53E16353" w14:textId="77777777" w:rsidR="00DB6168" w:rsidRDefault="00DB6168" w:rsidP="00DB6168">
      <w:pPr>
        <w:pStyle w:val="NormalWeb"/>
      </w:pPr>
      <w:r>
        <w:t xml:space="preserve">Reviewers report significant deficiencies or recurring failures to the </w:t>
      </w:r>
      <w:r>
        <w:rPr>
          <w:rStyle w:val="Strong"/>
        </w:rPr>
        <w:t xml:space="preserve">second or third line of </w:t>
      </w:r>
      <w:proofErr w:type="spellStart"/>
      <w:r>
        <w:rPr>
          <w:rStyle w:val="Strong"/>
        </w:rPr>
        <w:t>defense</w:t>
      </w:r>
      <w:proofErr w:type="spellEnd"/>
      <w:r>
        <w:t xml:space="preserve"> depending on impact.</w:t>
      </w:r>
    </w:p>
    <w:p w14:paraId="08AC40FF" w14:textId="77777777" w:rsidR="00DB6168" w:rsidRDefault="00DB6168" w:rsidP="00DB6168">
      <w:r>
        <w:pict w14:anchorId="6C8F6B1B">
          <v:rect id="_x0000_i1075" style="width:0;height:1.5pt" o:hralign="center" o:hrstd="t" o:hr="t" fillcolor="#a0a0a0" stroked="f"/>
        </w:pict>
      </w:r>
    </w:p>
    <w:p w14:paraId="534621F2" w14:textId="77777777" w:rsidR="00DB6168" w:rsidRDefault="00DB6168" w:rsidP="00DB6168">
      <w:pPr>
        <w:pStyle w:val="Heading3"/>
      </w:pPr>
      <w:r>
        <w:t>6.3 Escalation Path for Control Failures</w:t>
      </w:r>
    </w:p>
    <w:p w14:paraId="44911A4E" w14:textId="77777777" w:rsidR="00DB6168" w:rsidRDefault="00DB6168" w:rsidP="00DB6168">
      <w:pPr>
        <w:pStyle w:val="NormalWeb"/>
      </w:pPr>
      <w:r>
        <w:t>In case of a control breakdown, failure to operate, or test failure, an immediate escalation protocol must be followed to ensure timely mitigation and response.</w:t>
      </w:r>
    </w:p>
    <w:p w14:paraId="0DAAF091" w14:textId="77777777" w:rsidR="00DB6168" w:rsidRDefault="00DB6168" w:rsidP="00DB6168">
      <w:pPr>
        <w:pStyle w:val="Heading4"/>
      </w:pPr>
      <w:r>
        <w:t>6.3.1 Escalation Tiers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676"/>
        <w:gridCol w:w="3194"/>
        <w:gridCol w:w="1143"/>
      </w:tblGrid>
      <w:tr w:rsidR="00DB6168" w14:paraId="7010C7F2" w14:textId="77777777" w:rsidTr="00DB6168">
        <w:trPr>
          <w:tblHeader/>
          <w:tblCellSpacing w:w="15" w:type="dxa"/>
        </w:trPr>
        <w:tc>
          <w:tcPr>
            <w:tcW w:w="0" w:type="auto"/>
            <w:vAlign w:val="center"/>
            <w:hideMark/>
          </w:tcPr>
          <w:p w14:paraId="71DB9010" w14:textId="77777777" w:rsidR="00DB6168" w:rsidRDefault="00DB6168">
            <w:pPr>
              <w:jc w:val="center"/>
              <w:rPr>
                <w:b/>
                <w:bCs/>
              </w:rPr>
            </w:pPr>
            <w:r>
              <w:rPr>
                <w:b/>
                <w:bCs/>
              </w:rPr>
              <w:t>Impact Level</w:t>
            </w:r>
          </w:p>
        </w:tc>
        <w:tc>
          <w:tcPr>
            <w:tcW w:w="0" w:type="auto"/>
            <w:vAlign w:val="center"/>
            <w:hideMark/>
          </w:tcPr>
          <w:p w14:paraId="0F32A828" w14:textId="77777777" w:rsidR="00DB6168" w:rsidRDefault="00DB6168">
            <w:pPr>
              <w:jc w:val="center"/>
              <w:rPr>
                <w:b/>
                <w:bCs/>
              </w:rPr>
            </w:pPr>
            <w:r>
              <w:rPr>
                <w:b/>
                <w:bCs/>
              </w:rPr>
              <w:t>Definition</w:t>
            </w:r>
          </w:p>
        </w:tc>
        <w:tc>
          <w:tcPr>
            <w:tcW w:w="0" w:type="auto"/>
            <w:vAlign w:val="center"/>
            <w:hideMark/>
          </w:tcPr>
          <w:p w14:paraId="2569C134" w14:textId="77777777" w:rsidR="00DB6168" w:rsidRDefault="00DB6168">
            <w:pPr>
              <w:jc w:val="center"/>
              <w:rPr>
                <w:b/>
                <w:bCs/>
              </w:rPr>
            </w:pPr>
            <w:r>
              <w:rPr>
                <w:b/>
                <w:bCs/>
              </w:rPr>
              <w:t>Escalation Path</w:t>
            </w:r>
          </w:p>
        </w:tc>
        <w:tc>
          <w:tcPr>
            <w:tcW w:w="0" w:type="auto"/>
            <w:vAlign w:val="center"/>
            <w:hideMark/>
          </w:tcPr>
          <w:p w14:paraId="6525A3FB" w14:textId="77777777" w:rsidR="00DB6168" w:rsidRDefault="00DB6168">
            <w:pPr>
              <w:jc w:val="center"/>
              <w:rPr>
                <w:b/>
                <w:bCs/>
              </w:rPr>
            </w:pPr>
            <w:r>
              <w:rPr>
                <w:b/>
                <w:bCs/>
              </w:rPr>
              <w:t>Timeline</w:t>
            </w:r>
          </w:p>
        </w:tc>
      </w:tr>
      <w:tr w:rsidR="00DB6168" w14:paraId="04E3E631" w14:textId="77777777" w:rsidTr="00DB6168">
        <w:trPr>
          <w:tblCellSpacing w:w="15" w:type="dxa"/>
        </w:trPr>
        <w:tc>
          <w:tcPr>
            <w:tcW w:w="0" w:type="auto"/>
            <w:vAlign w:val="center"/>
            <w:hideMark/>
          </w:tcPr>
          <w:p w14:paraId="4ED3811B" w14:textId="77777777" w:rsidR="00DB6168" w:rsidRDefault="00DB6168">
            <w:r>
              <w:rPr>
                <w:rStyle w:val="Strong"/>
              </w:rPr>
              <w:t>Critical</w:t>
            </w:r>
          </w:p>
        </w:tc>
        <w:tc>
          <w:tcPr>
            <w:tcW w:w="0" w:type="auto"/>
            <w:vAlign w:val="center"/>
            <w:hideMark/>
          </w:tcPr>
          <w:p w14:paraId="230CBBC2" w14:textId="77777777" w:rsidR="00DB6168" w:rsidRDefault="00DB6168">
            <w:r>
              <w:t>Regulatory violation, financial misstatement, fraud exposure, data breach</w:t>
            </w:r>
          </w:p>
        </w:tc>
        <w:tc>
          <w:tcPr>
            <w:tcW w:w="0" w:type="auto"/>
            <w:vAlign w:val="center"/>
            <w:hideMark/>
          </w:tcPr>
          <w:p w14:paraId="3A8BB7E0" w14:textId="77777777" w:rsidR="00DB6168" w:rsidRDefault="00DB6168">
            <w:r>
              <w:t>CRO, CCO, CEO, Board / Audit Committee</w:t>
            </w:r>
          </w:p>
        </w:tc>
        <w:tc>
          <w:tcPr>
            <w:tcW w:w="0" w:type="auto"/>
            <w:vAlign w:val="center"/>
            <w:hideMark/>
          </w:tcPr>
          <w:p w14:paraId="1D19E145" w14:textId="77777777" w:rsidR="00DB6168" w:rsidRDefault="00DB6168">
            <w:r>
              <w:t>Within 2 hours</w:t>
            </w:r>
          </w:p>
        </w:tc>
      </w:tr>
      <w:tr w:rsidR="00DB6168" w14:paraId="41A0A96C" w14:textId="77777777" w:rsidTr="00DB6168">
        <w:trPr>
          <w:tblCellSpacing w:w="15" w:type="dxa"/>
        </w:trPr>
        <w:tc>
          <w:tcPr>
            <w:tcW w:w="0" w:type="auto"/>
            <w:vAlign w:val="center"/>
            <w:hideMark/>
          </w:tcPr>
          <w:p w14:paraId="36029C46" w14:textId="77777777" w:rsidR="00DB6168" w:rsidRDefault="00DB6168">
            <w:r>
              <w:rPr>
                <w:rStyle w:val="Strong"/>
              </w:rPr>
              <w:t>High</w:t>
            </w:r>
          </w:p>
        </w:tc>
        <w:tc>
          <w:tcPr>
            <w:tcW w:w="0" w:type="auto"/>
            <w:vAlign w:val="center"/>
            <w:hideMark/>
          </w:tcPr>
          <w:p w14:paraId="1D32054B" w14:textId="77777777" w:rsidR="00DB6168" w:rsidRDefault="00DB6168">
            <w:r>
              <w:t>Repeated control failure, audit red-flag, high-value transaction risk</w:t>
            </w:r>
          </w:p>
        </w:tc>
        <w:tc>
          <w:tcPr>
            <w:tcW w:w="0" w:type="auto"/>
            <w:vAlign w:val="center"/>
            <w:hideMark/>
          </w:tcPr>
          <w:p w14:paraId="2301DC40" w14:textId="77777777" w:rsidR="00DB6168" w:rsidRDefault="00DB6168">
            <w:r>
              <w:t>Function Head, Risk Management, Internal Audit</w:t>
            </w:r>
          </w:p>
        </w:tc>
        <w:tc>
          <w:tcPr>
            <w:tcW w:w="0" w:type="auto"/>
            <w:vAlign w:val="center"/>
            <w:hideMark/>
          </w:tcPr>
          <w:p w14:paraId="196B3A1A" w14:textId="77777777" w:rsidR="00DB6168" w:rsidRDefault="00DB6168">
            <w:r>
              <w:t>Within 24 hours</w:t>
            </w:r>
          </w:p>
        </w:tc>
      </w:tr>
      <w:tr w:rsidR="00DB6168" w14:paraId="0D0A475D" w14:textId="77777777" w:rsidTr="00DB6168">
        <w:trPr>
          <w:tblCellSpacing w:w="15" w:type="dxa"/>
        </w:trPr>
        <w:tc>
          <w:tcPr>
            <w:tcW w:w="0" w:type="auto"/>
            <w:vAlign w:val="center"/>
            <w:hideMark/>
          </w:tcPr>
          <w:p w14:paraId="4B9073FE" w14:textId="77777777" w:rsidR="00DB6168" w:rsidRDefault="00DB6168">
            <w:r>
              <w:rPr>
                <w:rStyle w:val="Strong"/>
              </w:rPr>
              <w:t>Medium</w:t>
            </w:r>
          </w:p>
        </w:tc>
        <w:tc>
          <w:tcPr>
            <w:tcW w:w="0" w:type="auto"/>
            <w:vAlign w:val="center"/>
            <w:hideMark/>
          </w:tcPr>
          <w:p w14:paraId="7FBEB65B" w14:textId="77777777" w:rsidR="00DB6168" w:rsidRDefault="00DB6168">
            <w:r>
              <w:t>Process deviation, overdue reconciliation, minor policy gap</w:t>
            </w:r>
          </w:p>
        </w:tc>
        <w:tc>
          <w:tcPr>
            <w:tcW w:w="0" w:type="auto"/>
            <w:vAlign w:val="center"/>
            <w:hideMark/>
          </w:tcPr>
          <w:p w14:paraId="5266AE27" w14:textId="77777777" w:rsidR="00DB6168" w:rsidRDefault="00DB6168">
            <w:r>
              <w:t>Control Owner’s Supervisor, Compliance Analyst</w:t>
            </w:r>
          </w:p>
        </w:tc>
        <w:tc>
          <w:tcPr>
            <w:tcW w:w="0" w:type="auto"/>
            <w:vAlign w:val="center"/>
            <w:hideMark/>
          </w:tcPr>
          <w:p w14:paraId="4833F9FD" w14:textId="77777777" w:rsidR="00DB6168" w:rsidRDefault="00DB6168">
            <w:r>
              <w:t>Within 48 hours</w:t>
            </w:r>
          </w:p>
        </w:tc>
      </w:tr>
      <w:tr w:rsidR="00DB6168" w14:paraId="69E47582" w14:textId="77777777" w:rsidTr="00DB6168">
        <w:trPr>
          <w:tblCellSpacing w:w="15" w:type="dxa"/>
        </w:trPr>
        <w:tc>
          <w:tcPr>
            <w:tcW w:w="0" w:type="auto"/>
            <w:vAlign w:val="center"/>
            <w:hideMark/>
          </w:tcPr>
          <w:p w14:paraId="5E607634" w14:textId="77777777" w:rsidR="00DB6168" w:rsidRDefault="00DB6168">
            <w:r>
              <w:rPr>
                <w:rStyle w:val="Strong"/>
              </w:rPr>
              <w:t>Low</w:t>
            </w:r>
          </w:p>
        </w:tc>
        <w:tc>
          <w:tcPr>
            <w:tcW w:w="0" w:type="auto"/>
            <w:vAlign w:val="center"/>
            <w:hideMark/>
          </w:tcPr>
          <w:p w14:paraId="35A3844E" w14:textId="77777777" w:rsidR="00DB6168" w:rsidRDefault="00DB6168">
            <w:r>
              <w:t>One-time exception, documentation lapse, minor breach</w:t>
            </w:r>
          </w:p>
        </w:tc>
        <w:tc>
          <w:tcPr>
            <w:tcW w:w="0" w:type="auto"/>
            <w:vAlign w:val="center"/>
            <w:hideMark/>
          </w:tcPr>
          <w:p w14:paraId="5D176EE3" w14:textId="77777777" w:rsidR="00DB6168" w:rsidRDefault="00DB6168">
            <w:r>
              <w:t>Self-logged by Control Owner, reviewed in weekly ops meeting</w:t>
            </w:r>
          </w:p>
        </w:tc>
        <w:tc>
          <w:tcPr>
            <w:tcW w:w="0" w:type="auto"/>
            <w:vAlign w:val="center"/>
            <w:hideMark/>
          </w:tcPr>
          <w:p w14:paraId="6705F066" w14:textId="77777777" w:rsidR="00DB6168" w:rsidRDefault="00DB6168">
            <w:r>
              <w:t>Within 5 days</w:t>
            </w:r>
          </w:p>
        </w:tc>
      </w:tr>
    </w:tbl>
    <w:p w14:paraId="7C7CF11D" w14:textId="77777777" w:rsidR="00DB6168" w:rsidRDefault="00DB6168" w:rsidP="00DB6168">
      <w:pPr>
        <w:pStyle w:val="Heading4"/>
      </w:pPr>
      <w:r>
        <w:t>6.3.2 Failure Response Protocol</w:t>
      </w:r>
    </w:p>
    <w:p w14:paraId="603ACD29" w14:textId="77777777" w:rsidR="00DB6168" w:rsidRDefault="00DB6168" w:rsidP="00DB6168">
      <w:pPr>
        <w:pStyle w:val="NormalWeb"/>
      </w:pPr>
      <w:r>
        <w:t>Once a control failure is identified:</w:t>
      </w:r>
    </w:p>
    <w:p w14:paraId="4ADD7FD3" w14:textId="77777777" w:rsidR="00DB6168" w:rsidRDefault="00DB6168" w:rsidP="00DB6168">
      <w:pPr>
        <w:pStyle w:val="NormalWeb"/>
        <w:numPr>
          <w:ilvl w:val="0"/>
          <w:numId w:val="31"/>
        </w:numPr>
      </w:pPr>
      <w:r>
        <w:rPr>
          <w:rStyle w:val="Strong"/>
        </w:rPr>
        <w:t>Control Owner</w:t>
      </w:r>
      <w:r>
        <w:t xml:space="preserve"> logs the issue in the Internal Control Tracker (ICT).</w:t>
      </w:r>
    </w:p>
    <w:p w14:paraId="2E7DAB01" w14:textId="77777777" w:rsidR="00DB6168" w:rsidRDefault="00DB6168" w:rsidP="00DB6168">
      <w:pPr>
        <w:pStyle w:val="NormalWeb"/>
        <w:numPr>
          <w:ilvl w:val="0"/>
          <w:numId w:val="31"/>
        </w:numPr>
      </w:pPr>
      <w:r>
        <w:rPr>
          <w:rStyle w:val="Strong"/>
        </w:rPr>
        <w:t>Reviewer</w:t>
      </w:r>
      <w:r>
        <w:t xml:space="preserve"> validates the failure, classifies impact level, and checks if compensating controls exist.</w:t>
      </w:r>
    </w:p>
    <w:p w14:paraId="261607AD" w14:textId="77777777" w:rsidR="00DB6168" w:rsidRDefault="00DB6168" w:rsidP="00DB6168">
      <w:pPr>
        <w:pStyle w:val="NormalWeb"/>
        <w:numPr>
          <w:ilvl w:val="0"/>
          <w:numId w:val="31"/>
        </w:numPr>
      </w:pPr>
      <w:r>
        <w:rPr>
          <w:rStyle w:val="Strong"/>
        </w:rPr>
        <w:lastRenderedPageBreak/>
        <w:t>Root Cause Analysis (RCA)</w:t>
      </w:r>
      <w:r>
        <w:t xml:space="preserve"> is initiated for high or critical issues.</w:t>
      </w:r>
    </w:p>
    <w:p w14:paraId="3631482C" w14:textId="77777777" w:rsidR="00DB6168" w:rsidRDefault="00DB6168" w:rsidP="00DB6168">
      <w:pPr>
        <w:pStyle w:val="NormalWeb"/>
        <w:numPr>
          <w:ilvl w:val="0"/>
          <w:numId w:val="31"/>
        </w:numPr>
      </w:pPr>
      <w:r>
        <w:rPr>
          <w:rStyle w:val="Strong"/>
        </w:rPr>
        <w:t>Remediation Plan</w:t>
      </w:r>
      <w:r>
        <w:t xml:space="preserve"> with owners and timelines is created.</w:t>
      </w:r>
    </w:p>
    <w:p w14:paraId="1BAA8F09" w14:textId="77777777" w:rsidR="00DB6168" w:rsidRDefault="00DB6168" w:rsidP="00DB6168">
      <w:pPr>
        <w:pStyle w:val="NormalWeb"/>
        <w:numPr>
          <w:ilvl w:val="0"/>
          <w:numId w:val="31"/>
        </w:numPr>
      </w:pPr>
      <w:r>
        <w:rPr>
          <w:rStyle w:val="Strong"/>
        </w:rPr>
        <w:t>Progress is monitored</w:t>
      </w:r>
      <w:r>
        <w:t xml:space="preserve"> weekly until closure, and status is escalated if overdue.</w:t>
      </w:r>
    </w:p>
    <w:p w14:paraId="793E17F2" w14:textId="77777777" w:rsidR="00DB6168" w:rsidRDefault="00DB6168" w:rsidP="00DB6168">
      <w:pPr>
        <w:pStyle w:val="NormalWeb"/>
        <w:numPr>
          <w:ilvl w:val="0"/>
          <w:numId w:val="31"/>
        </w:numPr>
      </w:pPr>
      <w:r>
        <w:rPr>
          <w:rStyle w:val="Strong"/>
        </w:rPr>
        <w:t>Closure Validation</w:t>
      </w:r>
      <w:r>
        <w:t xml:space="preserve"> is performed by the original Reviewer or Internal Audit.</w:t>
      </w:r>
    </w:p>
    <w:p w14:paraId="3CF7EB43" w14:textId="619F8A24" w:rsidR="00DB6168" w:rsidRDefault="00DB6168" w:rsidP="00DB6168">
      <w:pPr>
        <w:pStyle w:val="NormalWeb"/>
      </w:pPr>
      <w:r>
        <w:t>All escalations are recorded in the GRC Platform with timestamps, audit trails, and documentation to ensure accountability and transparency.</w:t>
      </w:r>
    </w:p>
    <w:p w14:paraId="3964AABF" w14:textId="77777777" w:rsidR="00DB6168" w:rsidRDefault="00DB6168" w:rsidP="00DB6168">
      <w:pPr>
        <w:pStyle w:val="Heading2"/>
      </w:pPr>
      <w:r>
        <w:t>7. Documentation &amp; Evidence</w:t>
      </w:r>
    </w:p>
    <w:p w14:paraId="65F72678" w14:textId="77777777" w:rsidR="00DB6168" w:rsidRDefault="00DB6168" w:rsidP="00DB6168">
      <w:pPr>
        <w:pStyle w:val="NormalWeb"/>
      </w:pPr>
      <w:r>
        <w:t xml:space="preserve">A strong internal control system relies not only on well-defined control activities, but also on </w:t>
      </w:r>
      <w:r>
        <w:rPr>
          <w:rStyle w:val="Strong"/>
        </w:rPr>
        <w:t>verifiable documentation</w:t>
      </w:r>
      <w:r>
        <w:t xml:space="preserve"> and </w:t>
      </w:r>
      <w:r>
        <w:rPr>
          <w:rStyle w:val="Strong"/>
        </w:rPr>
        <w:t>traceable evidence</w:t>
      </w:r>
      <w:r>
        <w:t xml:space="preserve"> to demonstrate design integrity, operating effectiveness, and regulatory compliance. This section outlines RBEYOND’s standards and expectations for maintaining such documentation.</w:t>
      </w:r>
    </w:p>
    <w:p w14:paraId="558BB590" w14:textId="77777777" w:rsidR="00DB6168" w:rsidRDefault="00DB6168" w:rsidP="00DB6168">
      <w:r>
        <w:pict w14:anchorId="2117E5EC">
          <v:rect id="_x0000_i1079" style="width:0;height:1.5pt" o:hralign="center" o:hrstd="t" o:hr="t" fillcolor="#a0a0a0" stroked="f"/>
        </w:pict>
      </w:r>
    </w:p>
    <w:p w14:paraId="6BC14BB2" w14:textId="77777777" w:rsidR="00DB6168" w:rsidRDefault="00DB6168" w:rsidP="00DB6168">
      <w:pPr>
        <w:pStyle w:val="Heading3"/>
      </w:pPr>
      <w:r>
        <w:t>7.1 Sample Templates and Standardized Control Documentation</w:t>
      </w:r>
    </w:p>
    <w:p w14:paraId="7181EB90" w14:textId="77777777" w:rsidR="00DB6168" w:rsidRDefault="00DB6168" w:rsidP="00DB6168">
      <w:pPr>
        <w:pStyle w:val="NormalWeb"/>
      </w:pPr>
      <w:r>
        <w:t xml:space="preserve">To promote consistency, all business and functional units are required to use standardized templates for executing and evidencing controls. These templates are version-controlled, periodically updated, and stored in the centralized </w:t>
      </w:r>
      <w:r>
        <w:rPr>
          <w:rStyle w:val="Strong"/>
        </w:rPr>
        <w:t>Control Documentation Repository (CDR)</w:t>
      </w:r>
      <w:r>
        <w:t xml:space="preserve"> hosted on the internal GRC platform.</w:t>
      </w:r>
    </w:p>
    <w:p w14:paraId="2036F5EA" w14:textId="77777777" w:rsidR="00DB6168" w:rsidRDefault="00DB6168" w:rsidP="00DB6168">
      <w:pPr>
        <w:pStyle w:val="Heading4"/>
      </w:pPr>
      <w:r>
        <w:t>7.1.1 Common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5143"/>
        <w:gridCol w:w="1809"/>
      </w:tblGrid>
      <w:tr w:rsidR="00DB6168" w14:paraId="73183536" w14:textId="77777777" w:rsidTr="00DB6168">
        <w:trPr>
          <w:tblHeader/>
          <w:tblCellSpacing w:w="15" w:type="dxa"/>
        </w:trPr>
        <w:tc>
          <w:tcPr>
            <w:tcW w:w="0" w:type="auto"/>
            <w:vAlign w:val="center"/>
            <w:hideMark/>
          </w:tcPr>
          <w:p w14:paraId="7784DC8F" w14:textId="77777777" w:rsidR="00DB6168" w:rsidRDefault="00DB6168">
            <w:pPr>
              <w:jc w:val="center"/>
              <w:rPr>
                <w:b/>
                <w:bCs/>
              </w:rPr>
            </w:pPr>
            <w:r>
              <w:rPr>
                <w:b/>
                <w:bCs/>
              </w:rPr>
              <w:t>Template Name</w:t>
            </w:r>
          </w:p>
        </w:tc>
        <w:tc>
          <w:tcPr>
            <w:tcW w:w="0" w:type="auto"/>
            <w:vAlign w:val="center"/>
            <w:hideMark/>
          </w:tcPr>
          <w:p w14:paraId="3F0E4FE3" w14:textId="77777777" w:rsidR="00DB6168" w:rsidRDefault="00DB6168">
            <w:pPr>
              <w:jc w:val="center"/>
              <w:rPr>
                <w:b/>
                <w:bCs/>
              </w:rPr>
            </w:pPr>
            <w:r>
              <w:rPr>
                <w:b/>
                <w:bCs/>
              </w:rPr>
              <w:t>Description</w:t>
            </w:r>
          </w:p>
        </w:tc>
        <w:tc>
          <w:tcPr>
            <w:tcW w:w="0" w:type="auto"/>
            <w:vAlign w:val="center"/>
            <w:hideMark/>
          </w:tcPr>
          <w:p w14:paraId="231B8DB6" w14:textId="77777777" w:rsidR="00DB6168" w:rsidRDefault="00DB6168">
            <w:pPr>
              <w:jc w:val="center"/>
              <w:rPr>
                <w:b/>
                <w:bCs/>
              </w:rPr>
            </w:pPr>
            <w:r>
              <w:rPr>
                <w:b/>
                <w:bCs/>
              </w:rPr>
              <w:t>Maintained By</w:t>
            </w:r>
          </w:p>
        </w:tc>
      </w:tr>
      <w:tr w:rsidR="00DB6168" w14:paraId="08B4B79B" w14:textId="77777777" w:rsidTr="00DB6168">
        <w:trPr>
          <w:tblCellSpacing w:w="15" w:type="dxa"/>
        </w:trPr>
        <w:tc>
          <w:tcPr>
            <w:tcW w:w="0" w:type="auto"/>
            <w:vAlign w:val="center"/>
            <w:hideMark/>
          </w:tcPr>
          <w:p w14:paraId="02BE5E5E" w14:textId="77777777" w:rsidR="00DB6168" w:rsidRDefault="00DB6168">
            <w:r>
              <w:rPr>
                <w:rStyle w:val="Strong"/>
              </w:rPr>
              <w:t>Control Execution Checklist</w:t>
            </w:r>
          </w:p>
        </w:tc>
        <w:tc>
          <w:tcPr>
            <w:tcW w:w="0" w:type="auto"/>
            <w:vAlign w:val="center"/>
            <w:hideMark/>
          </w:tcPr>
          <w:p w14:paraId="5C36F877" w14:textId="77777777" w:rsidR="00DB6168" w:rsidRDefault="00DB6168">
            <w:r>
              <w:t>Step-by-step procedural checklist for recurring controls (e.g., month-end close, KYC refresh)</w:t>
            </w:r>
          </w:p>
        </w:tc>
        <w:tc>
          <w:tcPr>
            <w:tcW w:w="0" w:type="auto"/>
            <w:vAlign w:val="center"/>
            <w:hideMark/>
          </w:tcPr>
          <w:p w14:paraId="43E6CF8A" w14:textId="77777777" w:rsidR="00DB6168" w:rsidRDefault="00DB6168">
            <w:r>
              <w:t>Control Owners</w:t>
            </w:r>
          </w:p>
        </w:tc>
      </w:tr>
      <w:tr w:rsidR="00DB6168" w14:paraId="7C754760" w14:textId="77777777" w:rsidTr="00DB6168">
        <w:trPr>
          <w:tblCellSpacing w:w="15" w:type="dxa"/>
        </w:trPr>
        <w:tc>
          <w:tcPr>
            <w:tcW w:w="0" w:type="auto"/>
            <w:vAlign w:val="center"/>
            <w:hideMark/>
          </w:tcPr>
          <w:p w14:paraId="17F459F4" w14:textId="77777777" w:rsidR="00DB6168" w:rsidRDefault="00DB6168">
            <w:r>
              <w:rPr>
                <w:rStyle w:val="Strong"/>
              </w:rPr>
              <w:t>Transaction Approval Form</w:t>
            </w:r>
          </w:p>
        </w:tc>
        <w:tc>
          <w:tcPr>
            <w:tcW w:w="0" w:type="auto"/>
            <w:vAlign w:val="center"/>
            <w:hideMark/>
          </w:tcPr>
          <w:p w14:paraId="142B924D" w14:textId="77777777" w:rsidR="00DB6168" w:rsidRDefault="00DB6168">
            <w:r>
              <w:t>Multi-level digital form capturing amount, approver comments, thresholds, and digital signature</w:t>
            </w:r>
          </w:p>
        </w:tc>
        <w:tc>
          <w:tcPr>
            <w:tcW w:w="0" w:type="auto"/>
            <w:vAlign w:val="center"/>
            <w:hideMark/>
          </w:tcPr>
          <w:p w14:paraId="66985156" w14:textId="77777777" w:rsidR="00DB6168" w:rsidRDefault="00DB6168">
            <w:r>
              <w:t>Finance / Business Ops</w:t>
            </w:r>
          </w:p>
        </w:tc>
      </w:tr>
      <w:tr w:rsidR="00DB6168" w14:paraId="32F97803" w14:textId="77777777" w:rsidTr="00DB6168">
        <w:trPr>
          <w:tblCellSpacing w:w="15" w:type="dxa"/>
        </w:trPr>
        <w:tc>
          <w:tcPr>
            <w:tcW w:w="0" w:type="auto"/>
            <w:vAlign w:val="center"/>
            <w:hideMark/>
          </w:tcPr>
          <w:p w14:paraId="3A4026BC" w14:textId="77777777" w:rsidR="00DB6168" w:rsidRDefault="00DB6168">
            <w:r>
              <w:rPr>
                <w:rStyle w:val="Strong"/>
              </w:rPr>
              <w:t>Exception Log Register</w:t>
            </w:r>
          </w:p>
        </w:tc>
        <w:tc>
          <w:tcPr>
            <w:tcW w:w="0" w:type="auto"/>
            <w:vAlign w:val="center"/>
            <w:hideMark/>
          </w:tcPr>
          <w:p w14:paraId="4A1AD3B0" w14:textId="77777777" w:rsidR="00DB6168" w:rsidRDefault="00DB6168">
            <w:r>
              <w:t>Used to record control exceptions, reasons for deviation, and any compensating measures</w:t>
            </w:r>
          </w:p>
        </w:tc>
        <w:tc>
          <w:tcPr>
            <w:tcW w:w="0" w:type="auto"/>
            <w:vAlign w:val="center"/>
            <w:hideMark/>
          </w:tcPr>
          <w:p w14:paraId="0237D52B" w14:textId="77777777" w:rsidR="00DB6168" w:rsidRDefault="00DB6168">
            <w:r>
              <w:t>Risk &amp; Controls Team</w:t>
            </w:r>
          </w:p>
        </w:tc>
      </w:tr>
      <w:tr w:rsidR="00DB6168" w14:paraId="2AF1AB2C" w14:textId="77777777" w:rsidTr="00DB6168">
        <w:trPr>
          <w:tblCellSpacing w:w="15" w:type="dxa"/>
        </w:trPr>
        <w:tc>
          <w:tcPr>
            <w:tcW w:w="0" w:type="auto"/>
            <w:vAlign w:val="center"/>
            <w:hideMark/>
          </w:tcPr>
          <w:p w14:paraId="277DD712" w14:textId="77777777" w:rsidR="00DB6168" w:rsidRDefault="00DB6168">
            <w:r>
              <w:rPr>
                <w:rStyle w:val="Strong"/>
              </w:rPr>
              <w:t>Access Request / Removal Form</w:t>
            </w:r>
          </w:p>
        </w:tc>
        <w:tc>
          <w:tcPr>
            <w:tcW w:w="0" w:type="auto"/>
            <w:vAlign w:val="center"/>
            <w:hideMark/>
          </w:tcPr>
          <w:p w14:paraId="21B09F10" w14:textId="77777777" w:rsidR="00DB6168" w:rsidRDefault="00DB6168">
            <w:r>
              <w:t>Standard IT form for requesting system access, de-provisioning, or privilege modification</w:t>
            </w:r>
          </w:p>
        </w:tc>
        <w:tc>
          <w:tcPr>
            <w:tcW w:w="0" w:type="auto"/>
            <w:vAlign w:val="center"/>
            <w:hideMark/>
          </w:tcPr>
          <w:p w14:paraId="0FD2F445" w14:textId="77777777" w:rsidR="00DB6168" w:rsidRDefault="00DB6168">
            <w:r>
              <w:t>IT Security</w:t>
            </w:r>
          </w:p>
        </w:tc>
      </w:tr>
      <w:tr w:rsidR="00DB6168" w14:paraId="6177DF92" w14:textId="77777777" w:rsidTr="00DB6168">
        <w:trPr>
          <w:tblCellSpacing w:w="15" w:type="dxa"/>
        </w:trPr>
        <w:tc>
          <w:tcPr>
            <w:tcW w:w="0" w:type="auto"/>
            <w:vAlign w:val="center"/>
            <w:hideMark/>
          </w:tcPr>
          <w:p w14:paraId="144081FE" w14:textId="77777777" w:rsidR="00DB6168" w:rsidRDefault="00DB6168">
            <w:r>
              <w:rPr>
                <w:rStyle w:val="Strong"/>
              </w:rPr>
              <w:t>Incident &amp; RCA Template</w:t>
            </w:r>
          </w:p>
        </w:tc>
        <w:tc>
          <w:tcPr>
            <w:tcW w:w="0" w:type="auto"/>
            <w:vAlign w:val="center"/>
            <w:hideMark/>
          </w:tcPr>
          <w:p w14:paraId="09C799EF" w14:textId="77777777" w:rsidR="00DB6168" w:rsidRDefault="00DB6168">
            <w:r>
              <w:t>Standard reporting format for control failures, with root cause and corrective actions</w:t>
            </w:r>
          </w:p>
        </w:tc>
        <w:tc>
          <w:tcPr>
            <w:tcW w:w="0" w:type="auto"/>
            <w:vAlign w:val="center"/>
            <w:hideMark/>
          </w:tcPr>
          <w:p w14:paraId="49692331" w14:textId="77777777" w:rsidR="00DB6168" w:rsidRDefault="00DB6168">
            <w:r>
              <w:t>Control Owner &amp; Reviewer</w:t>
            </w:r>
          </w:p>
        </w:tc>
      </w:tr>
      <w:tr w:rsidR="00DB6168" w14:paraId="164D6CF1" w14:textId="77777777" w:rsidTr="00DB6168">
        <w:trPr>
          <w:tblCellSpacing w:w="15" w:type="dxa"/>
        </w:trPr>
        <w:tc>
          <w:tcPr>
            <w:tcW w:w="0" w:type="auto"/>
            <w:vAlign w:val="center"/>
            <w:hideMark/>
          </w:tcPr>
          <w:p w14:paraId="4EC8DCE6" w14:textId="77777777" w:rsidR="00DB6168" w:rsidRDefault="00DB6168">
            <w:r>
              <w:rPr>
                <w:rStyle w:val="Strong"/>
              </w:rPr>
              <w:t>Audit Readiness File (ARF)</w:t>
            </w:r>
          </w:p>
        </w:tc>
        <w:tc>
          <w:tcPr>
            <w:tcW w:w="0" w:type="auto"/>
            <w:vAlign w:val="center"/>
            <w:hideMark/>
          </w:tcPr>
          <w:p w14:paraId="0ACF3CDF" w14:textId="77777777" w:rsidR="00DB6168" w:rsidRDefault="00DB6168">
            <w:r>
              <w:t>Folder of supporting documents for each audited control, tagged with evidence type and control ID</w:t>
            </w:r>
          </w:p>
        </w:tc>
        <w:tc>
          <w:tcPr>
            <w:tcW w:w="0" w:type="auto"/>
            <w:vAlign w:val="center"/>
            <w:hideMark/>
          </w:tcPr>
          <w:p w14:paraId="4B5EFE45" w14:textId="77777777" w:rsidR="00DB6168" w:rsidRDefault="00DB6168">
            <w:r>
              <w:t>Internal Audit Liaisons</w:t>
            </w:r>
          </w:p>
        </w:tc>
      </w:tr>
    </w:tbl>
    <w:p w14:paraId="33592528" w14:textId="77777777" w:rsidR="00DB6168" w:rsidRDefault="00DB6168" w:rsidP="00DB6168">
      <w:pPr>
        <w:pStyle w:val="NormalWeb"/>
      </w:pPr>
      <w:r>
        <w:t xml:space="preserve">Templates are accessible via the company’s </w:t>
      </w:r>
      <w:r>
        <w:rPr>
          <w:rStyle w:val="Strong"/>
        </w:rPr>
        <w:t>Internal Wiki and Compliance Hub</w:t>
      </w:r>
      <w:r>
        <w:t>, and each business unit has a Control Champion responsible for ensuring their usage.</w:t>
      </w:r>
    </w:p>
    <w:p w14:paraId="7DF32D92" w14:textId="77777777" w:rsidR="00DB6168" w:rsidRDefault="00DB6168" w:rsidP="00DB6168">
      <w:r>
        <w:lastRenderedPageBreak/>
        <w:pict w14:anchorId="2CDC480E">
          <v:rect id="_x0000_i1080" style="width:0;height:1.5pt" o:hralign="center" o:hrstd="t" o:hr="t" fillcolor="#a0a0a0" stroked="f"/>
        </w:pict>
      </w:r>
    </w:p>
    <w:p w14:paraId="75282329" w14:textId="77777777" w:rsidR="00DB6168" w:rsidRDefault="00DB6168" w:rsidP="00DB6168">
      <w:pPr>
        <w:pStyle w:val="Heading3"/>
      </w:pPr>
      <w:r>
        <w:t>7.2 Reference to Governing Policies</w:t>
      </w:r>
    </w:p>
    <w:p w14:paraId="1FD9D61B" w14:textId="77777777" w:rsidR="00DB6168" w:rsidRDefault="00DB6168" w:rsidP="00DB6168">
      <w:pPr>
        <w:pStyle w:val="NormalWeb"/>
      </w:pPr>
      <w:r>
        <w:t xml:space="preserve">Control documentation must align with RBEYOND’s formally approved governance policies and regulatory frameworks. The following policies serve as </w:t>
      </w:r>
      <w:r>
        <w:rPr>
          <w:rStyle w:val="Strong"/>
        </w:rPr>
        <w:t>anchor references</w:t>
      </w:r>
      <w:r>
        <w:t xml:space="preserve"> for control execution and audit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6"/>
        <w:gridCol w:w="758"/>
        <w:gridCol w:w="1699"/>
        <w:gridCol w:w="3533"/>
      </w:tblGrid>
      <w:tr w:rsidR="00DB6168" w14:paraId="33CB7B4D" w14:textId="77777777" w:rsidTr="00DB6168">
        <w:trPr>
          <w:tblHeader/>
          <w:tblCellSpacing w:w="15" w:type="dxa"/>
        </w:trPr>
        <w:tc>
          <w:tcPr>
            <w:tcW w:w="0" w:type="auto"/>
            <w:vAlign w:val="center"/>
            <w:hideMark/>
          </w:tcPr>
          <w:p w14:paraId="02F7872E" w14:textId="77777777" w:rsidR="00DB6168" w:rsidRDefault="00DB6168">
            <w:pPr>
              <w:jc w:val="center"/>
              <w:rPr>
                <w:b/>
                <w:bCs/>
              </w:rPr>
            </w:pPr>
            <w:r>
              <w:rPr>
                <w:b/>
                <w:bCs/>
              </w:rPr>
              <w:t>Policy Name</w:t>
            </w:r>
          </w:p>
        </w:tc>
        <w:tc>
          <w:tcPr>
            <w:tcW w:w="0" w:type="auto"/>
            <w:vAlign w:val="center"/>
            <w:hideMark/>
          </w:tcPr>
          <w:p w14:paraId="6D099A1E" w14:textId="77777777" w:rsidR="00DB6168" w:rsidRDefault="00DB6168">
            <w:pPr>
              <w:jc w:val="center"/>
              <w:rPr>
                <w:b/>
                <w:bCs/>
              </w:rPr>
            </w:pPr>
            <w:r>
              <w:rPr>
                <w:b/>
                <w:bCs/>
              </w:rPr>
              <w:t>Version</w:t>
            </w:r>
          </w:p>
        </w:tc>
        <w:tc>
          <w:tcPr>
            <w:tcW w:w="0" w:type="auto"/>
            <w:vAlign w:val="center"/>
            <w:hideMark/>
          </w:tcPr>
          <w:p w14:paraId="246A69C3" w14:textId="77777777" w:rsidR="00DB6168" w:rsidRDefault="00DB6168">
            <w:pPr>
              <w:jc w:val="center"/>
              <w:rPr>
                <w:b/>
                <w:bCs/>
              </w:rPr>
            </w:pPr>
            <w:r>
              <w:rPr>
                <w:b/>
                <w:bCs/>
              </w:rPr>
              <w:t>Owner</w:t>
            </w:r>
          </w:p>
        </w:tc>
        <w:tc>
          <w:tcPr>
            <w:tcW w:w="0" w:type="auto"/>
            <w:vAlign w:val="center"/>
            <w:hideMark/>
          </w:tcPr>
          <w:p w14:paraId="216827CC" w14:textId="77777777" w:rsidR="00DB6168" w:rsidRDefault="00DB6168">
            <w:pPr>
              <w:jc w:val="center"/>
              <w:rPr>
                <w:b/>
                <w:bCs/>
              </w:rPr>
            </w:pPr>
            <w:r>
              <w:rPr>
                <w:b/>
                <w:bCs/>
              </w:rPr>
              <w:t>Relevance to Control Framework</w:t>
            </w:r>
          </w:p>
        </w:tc>
      </w:tr>
      <w:tr w:rsidR="00DB6168" w14:paraId="4474B7A5" w14:textId="77777777" w:rsidTr="00DB6168">
        <w:trPr>
          <w:tblCellSpacing w:w="15" w:type="dxa"/>
        </w:trPr>
        <w:tc>
          <w:tcPr>
            <w:tcW w:w="0" w:type="auto"/>
            <w:vAlign w:val="center"/>
            <w:hideMark/>
          </w:tcPr>
          <w:p w14:paraId="204609AC" w14:textId="77777777" w:rsidR="00DB6168" w:rsidRDefault="00DB6168">
            <w:r>
              <w:rPr>
                <w:rStyle w:val="Strong"/>
              </w:rPr>
              <w:t>Internal Controls over Financial Reporting (ICFR) Policy</w:t>
            </w:r>
          </w:p>
        </w:tc>
        <w:tc>
          <w:tcPr>
            <w:tcW w:w="0" w:type="auto"/>
            <w:vAlign w:val="center"/>
            <w:hideMark/>
          </w:tcPr>
          <w:p w14:paraId="39EDD703" w14:textId="77777777" w:rsidR="00DB6168" w:rsidRDefault="00DB6168">
            <w:r>
              <w:t>v3.1</w:t>
            </w:r>
          </w:p>
        </w:tc>
        <w:tc>
          <w:tcPr>
            <w:tcW w:w="0" w:type="auto"/>
            <w:vAlign w:val="center"/>
            <w:hideMark/>
          </w:tcPr>
          <w:p w14:paraId="745E6B86" w14:textId="77777777" w:rsidR="00DB6168" w:rsidRDefault="00DB6168">
            <w:r>
              <w:t>CFO</w:t>
            </w:r>
          </w:p>
        </w:tc>
        <w:tc>
          <w:tcPr>
            <w:tcW w:w="0" w:type="auto"/>
            <w:vAlign w:val="center"/>
            <w:hideMark/>
          </w:tcPr>
          <w:p w14:paraId="654FE0EC" w14:textId="77777777" w:rsidR="00DB6168" w:rsidRDefault="00DB6168">
            <w:r>
              <w:t xml:space="preserve">Basis for all financial controls (journal entries, reconciliations, </w:t>
            </w:r>
            <w:proofErr w:type="spellStart"/>
            <w:r>
              <w:t>SoD</w:t>
            </w:r>
            <w:proofErr w:type="spellEnd"/>
            <w:r>
              <w:t>)</w:t>
            </w:r>
          </w:p>
        </w:tc>
      </w:tr>
      <w:tr w:rsidR="00DB6168" w14:paraId="407E180D" w14:textId="77777777" w:rsidTr="00DB6168">
        <w:trPr>
          <w:tblCellSpacing w:w="15" w:type="dxa"/>
        </w:trPr>
        <w:tc>
          <w:tcPr>
            <w:tcW w:w="0" w:type="auto"/>
            <w:vAlign w:val="center"/>
            <w:hideMark/>
          </w:tcPr>
          <w:p w14:paraId="4CB5FCB9" w14:textId="77777777" w:rsidR="00DB6168" w:rsidRDefault="00DB6168">
            <w:r>
              <w:rPr>
                <w:rStyle w:val="Strong"/>
              </w:rPr>
              <w:t>IT Security &amp; Access Management Policy</w:t>
            </w:r>
          </w:p>
        </w:tc>
        <w:tc>
          <w:tcPr>
            <w:tcW w:w="0" w:type="auto"/>
            <w:vAlign w:val="center"/>
            <w:hideMark/>
          </w:tcPr>
          <w:p w14:paraId="7CAD1F7E" w14:textId="77777777" w:rsidR="00DB6168" w:rsidRDefault="00DB6168">
            <w:r>
              <w:t>v2.7</w:t>
            </w:r>
          </w:p>
        </w:tc>
        <w:tc>
          <w:tcPr>
            <w:tcW w:w="0" w:type="auto"/>
            <w:vAlign w:val="center"/>
            <w:hideMark/>
          </w:tcPr>
          <w:p w14:paraId="189E2042" w14:textId="77777777" w:rsidR="00DB6168" w:rsidRDefault="00DB6168">
            <w:r>
              <w:t>CISO</w:t>
            </w:r>
          </w:p>
        </w:tc>
        <w:tc>
          <w:tcPr>
            <w:tcW w:w="0" w:type="auto"/>
            <w:vAlign w:val="center"/>
            <w:hideMark/>
          </w:tcPr>
          <w:p w14:paraId="054844A5" w14:textId="77777777" w:rsidR="00DB6168" w:rsidRDefault="00DB6168">
            <w:r>
              <w:t>Governs user access, privilege escalation, endpoint security</w:t>
            </w:r>
          </w:p>
        </w:tc>
      </w:tr>
      <w:tr w:rsidR="00DB6168" w14:paraId="3A76CDC2" w14:textId="77777777" w:rsidTr="00DB6168">
        <w:trPr>
          <w:tblCellSpacing w:w="15" w:type="dxa"/>
        </w:trPr>
        <w:tc>
          <w:tcPr>
            <w:tcW w:w="0" w:type="auto"/>
            <w:vAlign w:val="center"/>
            <w:hideMark/>
          </w:tcPr>
          <w:p w14:paraId="406D87B5" w14:textId="77777777" w:rsidR="00DB6168" w:rsidRDefault="00DB6168">
            <w:r>
              <w:rPr>
                <w:rStyle w:val="Strong"/>
              </w:rPr>
              <w:t xml:space="preserve">Anti-Fraud &amp; </w:t>
            </w:r>
            <w:proofErr w:type="spellStart"/>
            <w:r>
              <w:rPr>
                <w:rStyle w:val="Strong"/>
              </w:rPr>
              <w:t>Whistleblower</w:t>
            </w:r>
            <w:proofErr w:type="spellEnd"/>
            <w:r>
              <w:rPr>
                <w:rStyle w:val="Strong"/>
              </w:rPr>
              <w:t xml:space="preserve"> Policy</w:t>
            </w:r>
          </w:p>
        </w:tc>
        <w:tc>
          <w:tcPr>
            <w:tcW w:w="0" w:type="auto"/>
            <w:vAlign w:val="center"/>
            <w:hideMark/>
          </w:tcPr>
          <w:p w14:paraId="44FC148D" w14:textId="77777777" w:rsidR="00DB6168" w:rsidRDefault="00DB6168">
            <w:r>
              <w:t>v1.9</w:t>
            </w:r>
          </w:p>
        </w:tc>
        <w:tc>
          <w:tcPr>
            <w:tcW w:w="0" w:type="auto"/>
            <w:vAlign w:val="center"/>
            <w:hideMark/>
          </w:tcPr>
          <w:p w14:paraId="15AD5159" w14:textId="77777777" w:rsidR="00DB6168" w:rsidRDefault="00DB6168">
            <w:r>
              <w:t>CRO</w:t>
            </w:r>
          </w:p>
        </w:tc>
        <w:tc>
          <w:tcPr>
            <w:tcW w:w="0" w:type="auto"/>
            <w:vAlign w:val="center"/>
            <w:hideMark/>
          </w:tcPr>
          <w:p w14:paraId="35167AEE" w14:textId="77777777" w:rsidR="00DB6168" w:rsidRDefault="00DB6168">
            <w:r>
              <w:t>Covers fraud detection controls, reporting mechanisms, escalation</w:t>
            </w:r>
          </w:p>
        </w:tc>
      </w:tr>
      <w:tr w:rsidR="00DB6168" w14:paraId="28D384D9" w14:textId="77777777" w:rsidTr="00DB6168">
        <w:trPr>
          <w:tblCellSpacing w:w="15" w:type="dxa"/>
        </w:trPr>
        <w:tc>
          <w:tcPr>
            <w:tcW w:w="0" w:type="auto"/>
            <w:vAlign w:val="center"/>
            <w:hideMark/>
          </w:tcPr>
          <w:p w14:paraId="7AC06862" w14:textId="77777777" w:rsidR="00DB6168" w:rsidRDefault="00DB6168">
            <w:r>
              <w:rPr>
                <w:rStyle w:val="Strong"/>
              </w:rPr>
              <w:t>Records Retention &amp; Data Classification Policy</w:t>
            </w:r>
          </w:p>
        </w:tc>
        <w:tc>
          <w:tcPr>
            <w:tcW w:w="0" w:type="auto"/>
            <w:vAlign w:val="center"/>
            <w:hideMark/>
          </w:tcPr>
          <w:p w14:paraId="427180CC" w14:textId="77777777" w:rsidR="00DB6168" w:rsidRDefault="00DB6168">
            <w:r>
              <w:t>v2.3</w:t>
            </w:r>
          </w:p>
        </w:tc>
        <w:tc>
          <w:tcPr>
            <w:tcW w:w="0" w:type="auto"/>
            <w:vAlign w:val="center"/>
            <w:hideMark/>
          </w:tcPr>
          <w:p w14:paraId="1766DC11" w14:textId="77777777" w:rsidR="00DB6168" w:rsidRDefault="00DB6168">
            <w:r>
              <w:t>Legal &amp; Compliance</w:t>
            </w:r>
          </w:p>
        </w:tc>
        <w:tc>
          <w:tcPr>
            <w:tcW w:w="0" w:type="auto"/>
            <w:vAlign w:val="center"/>
            <w:hideMark/>
          </w:tcPr>
          <w:p w14:paraId="6015365D" w14:textId="77777777" w:rsidR="00DB6168" w:rsidRDefault="00DB6168">
            <w:r>
              <w:t>Defines evidence retention timelines, access, and audit logs</w:t>
            </w:r>
          </w:p>
        </w:tc>
      </w:tr>
      <w:tr w:rsidR="00DB6168" w14:paraId="43B651A4" w14:textId="77777777" w:rsidTr="00DB6168">
        <w:trPr>
          <w:tblCellSpacing w:w="15" w:type="dxa"/>
        </w:trPr>
        <w:tc>
          <w:tcPr>
            <w:tcW w:w="0" w:type="auto"/>
            <w:vAlign w:val="center"/>
            <w:hideMark/>
          </w:tcPr>
          <w:p w14:paraId="559C445C" w14:textId="77777777" w:rsidR="00DB6168" w:rsidRDefault="00DB6168">
            <w:r>
              <w:rPr>
                <w:rStyle w:val="Strong"/>
              </w:rPr>
              <w:t>Regulatory Compliance Policy</w:t>
            </w:r>
          </w:p>
        </w:tc>
        <w:tc>
          <w:tcPr>
            <w:tcW w:w="0" w:type="auto"/>
            <w:vAlign w:val="center"/>
            <w:hideMark/>
          </w:tcPr>
          <w:p w14:paraId="66F75ADB" w14:textId="77777777" w:rsidR="00DB6168" w:rsidRDefault="00DB6168">
            <w:r>
              <w:t>v3.0</w:t>
            </w:r>
          </w:p>
        </w:tc>
        <w:tc>
          <w:tcPr>
            <w:tcW w:w="0" w:type="auto"/>
            <w:vAlign w:val="center"/>
            <w:hideMark/>
          </w:tcPr>
          <w:p w14:paraId="3A6570CE" w14:textId="77777777" w:rsidR="00DB6168" w:rsidRDefault="00DB6168">
            <w:r>
              <w:t>Chief Compliance Officer</w:t>
            </w:r>
          </w:p>
        </w:tc>
        <w:tc>
          <w:tcPr>
            <w:tcW w:w="0" w:type="auto"/>
            <w:vAlign w:val="center"/>
            <w:hideMark/>
          </w:tcPr>
          <w:p w14:paraId="60A5623B" w14:textId="77777777" w:rsidR="00DB6168" w:rsidRDefault="00DB6168">
            <w:r>
              <w:t>Outlines regulatory reporting responsibilities and evidence handling</w:t>
            </w:r>
          </w:p>
        </w:tc>
      </w:tr>
      <w:tr w:rsidR="00DB6168" w14:paraId="65EF43DB" w14:textId="77777777" w:rsidTr="00DB6168">
        <w:trPr>
          <w:tblCellSpacing w:w="15" w:type="dxa"/>
        </w:trPr>
        <w:tc>
          <w:tcPr>
            <w:tcW w:w="0" w:type="auto"/>
            <w:vAlign w:val="center"/>
            <w:hideMark/>
          </w:tcPr>
          <w:p w14:paraId="4466E31C" w14:textId="77777777" w:rsidR="00DB6168" w:rsidRDefault="00DB6168">
            <w:r>
              <w:rPr>
                <w:rStyle w:val="Strong"/>
              </w:rPr>
              <w:t>Business Continuity &amp; DR Policy</w:t>
            </w:r>
          </w:p>
        </w:tc>
        <w:tc>
          <w:tcPr>
            <w:tcW w:w="0" w:type="auto"/>
            <w:vAlign w:val="center"/>
            <w:hideMark/>
          </w:tcPr>
          <w:p w14:paraId="3A237D8B" w14:textId="77777777" w:rsidR="00DB6168" w:rsidRDefault="00DB6168">
            <w:r>
              <w:t>v1.5</w:t>
            </w:r>
          </w:p>
        </w:tc>
        <w:tc>
          <w:tcPr>
            <w:tcW w:w="0" w:type="auto"/>
            <w:vAlign w:val="center"/>
            <w:hideMark/>
          </w:tcPr>
          <w:p w14:paraId="7E940533" w14:textId="77777777" w:rsidR="00DB6168" w:rsidRDefault="00DB6168">
            <w:r>
              <w:t>COO</w:t>
            </w:r>
          </w:p>
        </w:tc>
        <w:tc>
          <w:tcPr>
            <w:tcW w:w="0" w:type="auto"/>
            <w:vAlign w:val="center"/>
            <w:hideMark/>
          </w:tcPr>
          <w:p w14:paraId="0F986F37" w14:textId="77777777" w:rsidR="00DB6168" w:rsidRDefault="00DB6168">
            <w:r>
              <w:t>Covers documentation of DR testing, business impact assessments</w:t>
            </w:r>
          </w:p>
        </w:tc>
      </w:tr>
      <w:tr w:rsidR="00DB6168" w14:paraId="6B782A11" w14:textId="77777777" w:rsidTr="00DB6168">
        <w:trPr>
          <w:tblCellSpacing w:w="15" w:type="dxa"/>
        </w:trPr>
        <w:tc>
          <w:tcPr>
            <w:tcW w:w="0" w:type="auto"/>
            <w:vAlign w:val="center"/>
            <w:hideMark/>
          </w:tcPr>
          <w:p w14:paraId="270B0F36" w14:textId="77777777" w:rsidR="00DB6168" w:rsidRDefault="00DB6168">
            <w:r>
              <w:rPr>
                <w:rStyle w:val="Strong"/>
              </w:rPr>
              <w:t>Vendor Risk Management Policy</w:t>
            </w:r>
          </w:p>
        </w:tc>
        <w:tc>
          <w:tcPr>
            <w:tcW w:w="0" w:type="auto"/>
            <w:vAlign w:val="center"/>
            <w:hideMark/>
          </w:tcPr>
          <w:p w14:paraId="6E535E9C" w14:textId="77777777" w:rsidR="00DB6168" w:rsidRDefault="00DB6168">
            <w:r>
              <w:t>v2.2</w:t>
            </w:r>
          </w:p>
        </w:tc>
        <w:tc>
          <w:tcPr>
            <w:tcW w:w="0" w:type="auto"/>
            <w:vAlign w:val="center"/>
            <w:hideMark/>
          </w:tcPr>
          <w:p w14:paraId="0F617844" w14:textId="77777777" w:rsidR="00DB6168" w:rsidRDefault="00DB6168">
            <w:r>
              <w:t>Procurement</w:t>
            </w:r>
          </w:p>
        </w:tc>
        <w:tc>
          <w:tcPr>
            <w:tcW w:w="0" w:type="auto"/>
            <w:vAlign w:val="center"/>
            <w:hideMark/>
          </w:tcPr>
          <w:p w14:paraId="294F8A44" w14:textId="77777777" w:rsidR="00DB6168" w:rsidRDefault="00DB6168">
            <w:r>
              <w:t>Defines third-party control assurance, SLAs, SOC-2 requirements</w:t>
            </w:r>
          </w:p>
        </w:tc>
      </w:tr>
    </w:tbl>
    <w:p w14:paraId="7BF2C66F" w14:textId="77777777" w:rsidR="00DB6168" w:rsidRDefault="00DB6168" w:rsidP="00DB6168">
      <w:pPr>
        <w:pStyle w:val="NormalWeb"/>
      </w:pPr>
      <w:r>
        <w:t xml:space="preserve">All documentation must reflect adherence to these policies. Controls failing to cite policy basis may be considered </w:t>
      </w:r>
      <w:r>
        <w:rPr>
          <w:rStyle w:val="Strong"/>
        </w:rPr>
        <w:t>incomplete or non-compliant</w:t>
      </w:r>
      <w:r>
        <w:t xml:space="preserve"> during audits.</w:t>
      </w:r>
    </w:p>
    <w:p w14:paraId="2BB37EB2" w14:textId="77777777" w:rsidR="00DB6168" w:rsidRDefault="00DB6168" w:rsidP="00DB6168">
      <w:r>
        <w:pict w14:anchorId="19C51934">
          <v:rect id="_x0000_i1081" style="width:0;height:1.5pt" o:hralign="center" o:hrstd="t" o:hr="t" fillcolor="#a0a0a0" stroked="f"/>
        </w:pict>
      </w:r>
    </w:p>
    <w:p w14:paraId="20103B92" w14:textId="77777777" w:rsidR="00DB6168" w:rsidRDefault="00DB6168" w:rsidP="00DB6168">
      <w:pPr>
        <w:pStyle w:val="Heading3"/>
      </w:pPr>
      <w:r>
        <w:t>7.3 Audit Evidence Requirements</w:t>
      </w:r>
    </w:p>
    <w:p w14:paraId="29CA1FC4" w14:textId="77777777" w:rsidR="00DB6168" w:rsidRDefault="00DB6168" w:rsidP="00DB6168">
      <w:pPr>
        <w:pStyle w:val="NormalWeb"/>
      </w:pPr>
      <w:r>
        <w:t xml:space="preserve">For each control, </w:t>
      </w:r>
      <w:r>
        <w:rPr>
          <w:rStyle w:val="Strong"/>
        </w:rPr>
        <w:t>evidence of execution and effectiveness</w:t>
      </w:r>
      <w:r>
        <w:t xml:space="preserve"> must be retained in either </w:t>
      </w:r>
      <w:r>
        <w:rPr>
          <w:rStyle w:val="Strong"/>
        </w:rPr>
        <w:t>automated logs</w:t>
      </w:r>
      <w:r>
        <w:t xml:space="preserve">, </w:t>
      </w:r>
      <w:r>
        <w:rPr>
          <w:rStyle w:val="Strong"/>
        </w:rPr>
        <w:t>signed records</w:t>
      </w:r>
      <w:r>
        <w:t xml:space="preserve">, or </w:t>
      </w:r>
      <w:r>
        <w:rPr>
          <w:rStyle w:val="Strong"/>
        </w:rPr>
        <w:t>system screenshots</w:t>
      </w:r>
      <w:r>
        <w:t>, based on the nature of the control. The audit team uses this evidence during walkthroughs, control testing, and substantiation of reports.</w:t>
      </w:r>
    </w:p>
    <w:p w14:paraId="4A315FDE" w14:textId="77777777" w:rsidR="00DB6168" w:rsidRDefault="00DB6168" w:rsidP="00DB6168">
      <w:pPr>
        <w:pStyle w:val="Heading4"/>
      </w:pPr>
      <w:r>
        <w:t>7.3.1 Types of Acceptable Audit Evidence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3420"/>
        <w:gridCol w:w="3807"/>
      </w:tblGrid>
      <w:tr w:rsidR="00DB6168" w14:paraId="6E46ADEF" w14:textId="77777777" w:rsidTr="00DB6168">
        <w:trPr>
          <w:tblHeader/>
          <w:tblCellSpacing w:w="15" w:type="dxa"/>
        </w:trPr>
        <w:tc>
          <w:tcPr>
            <w:tcW w:w="0" w:type="auto"/>
            <w:vAlign w:val="center"/>
            <w:hideMark/>
          </w:tcPr>
          <w:p w14:paraId="6337B44B" w14:textId="77777777" w:rsidR="00DB6168" w:rsidRDefault="00DB6168">
            <w:pPr>
              <w:jc w:val="center"/>
              <w:rPr>
                <w:b/>
                <w:bCs/>
              </w:rPr>
            </w:pPr>
            <w:r>
              <w:rPr>
                <w:b/>
                <w:bCs/>
              </w:rPr>
              <w:t>Evidence Type</w:t>
            </w:r>
          </w:p>
        </w:tc>
        <w:tc>
          <w:tcPr>
            <w:tcW w:w="0" w:type="auto"/>
            <w:vAlign w:val="center"/>
            <w:hideMark/>
          </w:tcPr>
          <w:p w14:paraId="6B0C899E" w14:textId="77777777" w:rsidR="00DB6168" w:rsidRDefault="00DB6168">
            <w:pPr>
              <w:jc w:val="center"/>
              <w:rPr>
                <w:b/>
                <w:bCs/>
              </w:rPr>
            </w:pPr>
            <w:r>
              <w:rPr>
                <w:b/>
                <w:bCs/>
              </w:rPr>
              <w:t>Examples</w:t>
            </w:r>
          </w:p>
        </w:tc>
        <w:tc>
          <w:tcPr>
            <w:tcW w:w="0" w:type="auto"/>
            <w:vAlign w:val="center"/>
            <w:hideMark/>
          </w:tcPr>
          <w:p w14:paraId="5B087393" w14:textId="77777777" w:rsidR="00DB6168" w:rsidRDefault="00DB6168">
            <w:pPr>
              <w:jc w:val="center"/>
              <w:rPr>
                <w:b/>
                <w:bCs/>
              </w:rPr>
            </w:pPr>
            <w:r>
              <w:rPr>
                <w:b/>
                <w:bCs/>
              </w:rPr>
              <w:t>Acceptable Format</w:t>
            </w:r>
          </w:p>
        </w:tc>
      </w:tr>
      <w:tr w:rsidR="00DB6168" w14:paraId="60C15F23" w14:textId="77777777" w:rsidTr="00DB6168">
        <w:trPr>
          <w:tblCellSpacing w:w="15" w:type="dxa"/>
        </w:trPr>
        <w:tc>
          <w:tcPr>
            <w:tcW w:w="0" w:type="auto"/>
            <w:vAlign w:val="center"/>
            <w:hideMark/>
          </w:tcPr>
          <w:p w14:paraId="288B9A5E" w14:textId="77777777" w:rsidR="00DB6168" w:rsidRDefault="00DB6168">
            <w:r>
              <w:rPr>
                <w:rStyle w:val="Strong"/>
              </w:rPr>
              <w:t>System Logs</w:t>
            </w:r>
          </w:p>
        </w:tc>
        <w:tc>
          <w:tcPr>
            <w:tcW w:w="0" w:type="auto"/>
            <w:vAlign w:val="center"/>
            <w:hideMark/>
          </w:tcPr>
          <w:p w14:paraId="0EADDB66" w14:textId="77777777" w:rsidR="00DB6168" w:rsidRDefault="00DB6168">
            <w:r>
              <w:t>Access logs, audit trails, transaction timestamps</w:t>
            </w:r>
          </w:p>
        </w:tc>
        <w:tc>
          <w:tcPr>
            <w:tcW w:w="0" w:type="auto"/>
            <w:vAlign w:val="center"/>
            <w:hideMark/>
          </w:tcPr>
          <w:p w14:paraId="3EC683F7" w14:textId="77777777" w:rsidR="00DB6168" w:rsidRDefault="00DB6168">
            <w:r>
              <w:t>System exports (CSV/XML), screenshots with timestamps</w:t>
            </w:r>
          </w:p>
        </w:tc>
      </w:tr>
      <w:tr w:rsidR="00DB6168" w14:paraId="17BD7C3C" w14:textId="77777777" w:rsidTr="00DB6168">
        <w:trPr>
          <w:tblCellSpacing w:w="15" w:type="dxa"/>
        </w:trPr>
        <w:tc>
          <w:tcPr>
            <w:tcW w:w="0" w:type="auto"/>
            <w:vAlign w:val="center"/>
            <w:hideMark/>
          </w:tcPr>
          <w:p w14:paraId="756BBBB2" w14:textId="77777777" w:rsidR="00DB6168" w:rsidRDefault="00DB6168">
            <w:r>
              <w:rPr>
                <w:rStyle w:val="Strong"/>
              </w:rPr>
              <w:lastRenderedPageBreak/>
              <w:t>Digital Approvals</w:t>
            </w:r>
          </w:p>
        </w:tc>
        <w:tc>
          <w:tcPr>
            <w:tcW w:w="0" w:type="auto"/>
            <w:vAlign w:val="center"/>
            <w:hideMark/>
          </w:tcPr>
          <w:p w14:paraId="410C90C7" w14:textId="77777777" w:rsidR="00DB6168" w:rsidRDefault="00DB6168">
            <w:r>
              <w:t>Workflow approvals, sign-offs via ERP/CRM</w:t>
            </w:r>
          </w:p>
        </w:tc>
        <w:tc>
          <w:tcPr>
            <w:tcW w:w="0" w:type="auto"/>
            <w:vAlign w:val="center"/>
            <w:hideMark/>
          </w:tcPr>
          <w:p w14:paraId="1A1AF88A" w14:textId="77777777" w:rsidR="00DB6168" w:rsidRDefault="00DB6168">
            <w:r>
              <w:t>PDF extracts, screenshots of audit trail</w:t>
            </w:r>
          </w:p>
        </w:tc>
      </w:tr>
      <w:tr w:rsidR="00DB6168" w14:paraId="476FCCF9" w14:textId="77777777" w:rsidTr="00DB6168">
        <w:trPr>
          <w:tblCellSpacing w:w="15" w:type="dxa"/>
        </w:trPr>
        <w:tc>
          <w:tcPr>
            <w:tcW w:w="0" w:type="auto"/>
            <w:vAlign w:val="center"/>
            <w:hideMark/>
          </w:tcPr>
          <w:p w14:paraId="5B53C2D1" w14:textId="77777777" w:rsidR="00DB6168" w:rsidRDefault="00DB6168">
            <w:r>
              <w:rPr>
                <w:rStyle w:val="Strong"/>
              </w:rPr>
              <w:t>Email Records</w:t>
            </w:r>
          </w:p>
        </w:tc>
        <w:tc>
          <w:tcPr>
            <w:tcW w:w="0" w:type="auto"/>
            <w:vAlign w:val="center"/>
            <w:hideMark/>
          </w:tcPr>
          <w:p w14:paraId="3765AE88" w14:textId="77777777" w:rsidR="00DB6168" w:rsidRDefault="00DB6168">
            <w:r>
              <w:t>Approvals, clarifications, escalations</w:t>
            </w:r>
          </w:p>
        </w:tc>
        <w:tc>
          <w:tcPr>
            <w:tcW w:w="0" w:type="auto"/>
            <w:vAlign w:val="center"/>
            <w:hideMark/>
          </w:tcPr>
          <w:p w14:paraId="52E572BE" w14:textId="77777777" w:rsidR="00DB6168" w:rsidRDefault="00DB6168">
            <w:r>
              <w:t>Archived email threads (EML or PDF format)</w:t>
            </w:r>
          </w:p>
        </w:tc>
      </w:tr>
      <w:tr w:rsidR="00DB6168" w14:paraId="3ABF4A75" w14:textId="77777777" w:rsidTr="00DB6168">
        <w:trPr>
          <w:tblCellSpacing w:w="15" w:type="dxa"/>
        </w:trPr>
        <w:tc>
          <w:tcPr>
            <w:tcW w:w="0" w:type="auto"/>
            <w:vAlign w:val="center"/>
            <w:hideMark/>
          </w:tcPr>
          <w:p w14:paraId="27174027" w14:textId="77777777" w:rsidR="00DB6168" w:rsidRDefault="00DB6168">
            <w:r>
              <w:rPr>
                <w:rStyle w:val="Strong"/>
              </w:rPr>
              <w:t>Manual Checklists</w:t>
            </w:r>
          </w:p>
        </w:tc>
        <w:tc>
          <w:tcPr>
            <w:tcW w:w="0" w:type="auto"/>
            <w:vAlign w:val="center"/>
            <w:hideMark/>
          </w:tcPr>
          <w:p w14:paraId="4204EDE3" w14:textId="77777777" w:rsidR="00DB6168" w:rsidRDefault="00DB6168">
            <w:r>
              <w:t>Signed paper/e-forms of procedural checklists</w:t>
            </w:r>
          </w:p>
        </w:tc>
        <w:tc>
          <w:tcPr>
            <w:tcW w:w="0" w:type="auto"/>
            <w:vAlign w:val="center"/>
            <w:hideMark/>
          </w:tcPr>
          <w:p w14:paraId="5226EF83" w14:textId="77777777" w:rsidR="00DB6168" w:rsidRDefault="00DB6168">
            <w:r>
              <w:t>Scanned PDF with date, signature, control ID</w:t>
            </w:r>
          </w:p>
        </w:tc>
      </w:tr>
      <w:tr w:rsidR="00DB6168" w14:paraId="048501F3" w14:textId="77777777" w:rsidTr="00DB6168">
        <w:trPr>
          <w:tblCellSpacing w:w="15" w:type="dxa"/>
        </w:trPr>
        <w:tc>
          <w:tcPr>
            <w:tcW w:w="0" w:type="auto"/>
            <w:vAlign w:val="center"/>
            <w:hideMark/>
          </w:tcPr>
          <w:p w14:paraId="57984A7C" w14:textId="77777777" w:rsidR="00DB6168" w:rsidRDefault="00DB6168">
            <w:r>
              <w:rPr>
                <w:rStyle w:val="Strong"/>
              </w:rPr>
              <w:t>Exception Reports</w:t>
            </w:r>
          </w:p>
        </w:tc>
        <w:tc>
          <w:tcPr>
            <w:tcW w:w="0" w:type="auto"/>
            <w:vAlign w:val="center"/>
            <w:hideMark/>
          </w:tcPr>
          <w:p w14:paraId="086E6B0A" w14:textId="77777777" w:rsidR="00DB6168" w:rsidRDefault="00DB6168">
            <w:r>
              <w:t>Logs of flagged events, incidents, or alerts</w:t>
            </w:r>
          </w:p>
        </w:tc>
        <w:tc>
          <w:tcPr>
            <w:tcW w:w="0" w:type="auto"/>
            <w:vAlign w:val="center"/>
            <w:hideMark/>
          </w:tcPr>
          <w:p w14:paraId="0F0D1901" w14:textId="77777777" w:rsidR="00DB6168" w:rsidRDefault="00DB6168">
            <w:r>
              <w:t>System-generated reports, manual registers</w:t>
            </w:r>
          </w:p>
        </w:tc>
      </w:tr>
      <w:tr w:rsidR="00DB6168" w14:paraId="558A5451" w14:textId="77777777" w:rsidTr="00DB6168">
        <w:trPr>
          <w:tblCellSpacing w:w="15" w:type="dxa"/>
        </w:trPr>
        <w:tc>
          <w:tcPr>
            <w:tcW w:w="0" w:type="auto"/>
            <w:vAlign w:val="center"/>
            <w:hideMark/>
          </w:tcPr>
          <w:p w14:paraId="7DA87ECC" w14:textId="77777777" w:rsidR="00DB6168" w:rsidRDefault="00DB6168">
            <w:r>
              <w:rPr>
                <w:rStyle w:val="Strong"/>
              </w:rPr>
              <w:t>Supporting Documents</w:t>
            </w:r>
          </w:p>
        </w:tc>
        <w:tc>
          <w:tcPr>
            <w:tcW w:w="0" w:type="auto"/>
            <w:vAlign w:val="center"/>
            <w:hideMark/>
          </w:tcPr>
          <w:p w14:paraId="441548CD" w14:textId="77777777" w:rsidR="00DB6168" w:rsidRDefault="00DB6168">
            <w:r>
              <w:t>KYC documents, regulatory filing copies, tax proofs</w:t>
            </w:r>
          </w:p>
        </w:tc>
        <w:tc>
          <w:tcPr>
            <w:tcW w:w="0" w:type="auto"/>
            <w:vAlign w:val="center"/>
            <w:hideMark/>
          </w:tcPr>
          <w:p w14:paraId="7F96C180" w14:textId="77777777" w:rsidR="00DB6168" w:rsidRDefault="00DB6168">
            <w:r>
              <w:t>Scans or originals as per policy retention requirements</w:t>
            </w:r>
          </w:p>
        </w:tc>
      </w:tr>
    </w:tbl>
    <w:p w14:paraId="36D19B57" w14:textId="77777777" w:rsidR="00DB6168" w:rsidRDefault="00DB6168" w:rsidP="00DB6168">
      <w:pPr>
        <w:pStyle w:val="Heading4"/>
      </w:pPr>
      <w:r>
        <w:t>7.3.2 Evidence Retention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2431"/>
        <w:gridCol w:w="2570"/>
      </w:tblGrid>
      <w:tr w:rsidR="00DB6168" w14:paraId="5985F79F" w14:textId="77777777" w:rsidTr="00DB6168">
        <w:trPr>
          <w:tblHeader/>
          <w:tblCellSpacing w:w="15" w:type="dxa"/>
        </w:trPr>
        <w:tc>
          <w:tcPr>
            <w:tcW w:w="0" w:type="auto"/>
            <w:vAlign w:val="center"/>
            <w:hideMark/>
          </w:tcPr>
          <w:p w14:paraId="2241325F" w14:textId="77777777" w:rsidR="00DB6168" w:rsidRDefault="00DB6168">
            <w:pPr>
              <w:jc w:val="center"/>
              <w:rPr>
                <w:b/>
                <w:bCs/>
              </w:rPr>
            </w:pPr>
            <w:r>
              <w:rPr>
                <w:b/>
                <w:bCs/>
              </w:rPr>
              <w:t>Evidence Type</w:t>
            </w:r>
          </w:p>
        </w:tc>
        <w:tc>
          <w:tcPr>
            <w:tcW w:w="0" w:type="auto"/>
            <w:vAlign w:val="center"/>
            <w:hideMark/>
          </w:tcPr>
          <w:p w14:paraId="3A363137" w14:textId="77777777" w:rsidR="00DB6168" w:rsidRDefault="00DB6168">
            <w:pPr>
              <w:jc w:val="center"/>
              <w:rPr>
                <w:b/>
                <w:bCs/>
              </w:rPr>
            </w:pPr>
            <w:r>
              <w:rPr>
                <w:b/>
                <w:bCs/>
              </w:rPr>
              <w:t>Retention Period</w:t>
            </w:r>
          </w:p>
        </w:tc>
        <w:tc>
          <w:tcPr>
            <w:tcW w:w="0" w:type="auto"/>
            <w:vAlign w:val="center"/>
            <w:hideMark/>
          </w:tcPr>
          <w:p w14:paraId="4C0AE87E" w14:textId="77777777" w:rsidR="00DB6168" w:rsidRDefault="00DB6168">
            <w:pPr>
              <w:jc w:val="center"/>
              <w:rPr>
                <w:b/>
                <w:bCs/>
              </w:rPr>
            </w:pPr>
            <w:r>
              <w:rPr>
                <w:b/>
                <w:bCs/>
              </w:rPr>
              <w:t>Storage Location</w:t>
            </w:r>
          </w:p>
        </w:tc>
      </w:tr>
      <w:tr w:rsidR="00DB6168" w14:paraId="77CAD1D5" w14:textId="77777777" w:rsidTr="00DB6168">
        <w:trPr>
          <w:tblCellSpacing w:w="15" w:type="dxa"/>
        </w:trPr>
        <w:tc>
          <w:tcPr>
            <w:tcW w:w="0" w:type="auto"/>
            <w:vAlign w:val="center"/>
            <w:hideMark/>
          </w:tcPr>
          <w:p w14:paraId="03798467" w14:textId="77777777" w:rsidR="00DB6168" w:rsidRDefault="00DB6168">
            <w:r>
              <w:t>Financial Controls</w:t>
            </w:r>
          </w:p>
        </w:tc>
        <w:tc>
          <w:tcPr>
            <w:tcW w:w="0" w:type="auto"/>
            <w:vAlign w:val="center"/>
            <w:hideMark/>
          </w:tcPr>
          <w:p w14:paraId="67D91DA3" w14:textId="77777777" w:rsidR="00DB6168" w:rsidRDefault="00DB6168">
            <w:r>
              <w:t>8 years</w:t>
            </w:r>
          </w:p>
        </w:tc>
        <w:tc>
          <w:tcPr>
            <w:tcW w:w="0" w:type="auto"/>
            <w:vAlign w:val="center"/>
            <w:hideMark/>
          </w:tcPr>
          <w:p w14:paraId="0F52D53A" w14:textId="77777777" w:rsidR="00DB6168" w:rsidRDefault="00DB6168">
            <w:r>
              <w:t>Finance Shared Drive / DMS</w:t>
            </w:r>
          </w:p>
        </w:tc>
      </w:tr>
      <w:tr w:rsidR="00DB6168" w14:paraId="3571B64B" w14:textId="77777777" w:rsidTr="00DB6168">
        <w:trPr>
          <w:tblCellSpacing w:w="15" w:type="dxa"/>
        </w:trPr>
        <w:tc>
          <w:tcPr>
            <w:tcW w:w="0" w:type="auto"/>
            <w:vAlign w:val="center"/>
            <w:hideMark/>
          </w:tcPr>
          <w:p w14:paraId="3AE0C853" w14:textId="77777777" w:rsidR="00DB6168" w:rsidRDefault="00DB6168">
            <w:r>
              <w:t>Regulatory Reports</w:t>
            </w:r>
          </w:p>
        </w:tc>
        <w:tc>
          <w:tcPr>
            <w:tcW w:w="0" w:type="auto"/>
            <w:vAlign w:val="center"/>
            <w:hideMark/>
          </w:tcPr>
          <w:p w14:paraId="5C71DA03" w14:textId="77777777" w:rsidR="00DB6168" w:rsidRDefault="00DB6168">
            <w:r>
              <w:t>10 years</w:t>
            </w:r>
          </w:p>
        </w:tc>
        <w:tc>
          <w:tcPr>
            <w:tcW w:w="0" w:type="auto"/>
            <w:vAlign w:val="center"/>
            <w:hideMark/>
          </w:tcPr>
          <w:p w14:paraId="16C59855" w14:textId="77777777" w:rsidR="00DB6168" w:rsidRDefault="00DB6168">
            <w:r>
              <w:t>Compliance Vault</w:t>
            </w:r>
          </w:p>
        </w:tc>
      </w:tr>
      <w:tr w:rsidR="00DB6168" w14:paraId="0E97D8A1" w14:textId="77777777" w:rsidTr="00DB6168">
        <w:trPr>
          <w:tblCellSpacing w:w="15" w:type="dxa"/>
        </w:trPr>
        <w:tc>
          <w:tcPr>
            <w:tcW w:w="0" w:type="auto"/>
            <w:vAlign w:val="center"/>
            <w:hideMark/>
          </w:tcPr>
          <w:p w14:paraId="666B24AC" w14:textId="77777777" w:rsidR="00DB6168" w:rsidRDefault="00DB6168">
            <w:r>
              <w:t>KYC &amp; Onboarding Records</w:t>
            </w:r>
          </w:p>
        </w:tc>
        <w:tc>
          <w:tcPr>
            <w:tcW w:w="0" w:type="auto"/>
            <w:vAlign w:val="center"/>
            <w:hideMark/>
          </w:tcPr>
          <w:p w14:paraId="376ADAFD" w14:textId="77777777" w:rsidR="00DB6168" w:rsidRDefault="00DB6168">
            <w:r>
              <w:t>8 years post-relationship</w:t>
            </w:r>
          </w:p>
        </w:tc>
        <w:tc>
          <w:tcPr>
            <w:tcW w:w="0" w:type="auto"/>
            <w:vAlign w:val="center"/>
            <w:hideMark/>
          </w:tcPr>
          <w:p w14:paraId="195FE318" w14:textId="77777777" w:rsidR="00DB6168" w:rsidRDefault="00DB6168">
            <w:r>
              <w:t>Customer DMS</w:t>
            </w:r>
          </w:p>
        </w:tc>
      </w:tr>
      <w:tr w:rsidR="00DB6168" w14:paraId="30B743EC" w14:textId="77777777" w:rsidTr="00DB6168">
        <w:trPr>
          <w:tblCellSpacing w:w="15" w:type="dxa"/>
        </w:trPr>
        <w:tc>
          <w:tcPr>
            <w:tcW w:w="0" w:type="auto"/>
            <w:vAlign w:val="center"/>
            <w:hideMark/>
          </w:tcPr>
          <w:p w14:paraId="725E41D9" w14:textId="77777777" w:rsidR="00DB6168" w:rsidRDefault="00DB6168">
            <w:r>
              <w:t>Access Logs &amp; Security Events</w:t>
            </w:r>
          </w:p>
        </w:tc>
        <w:tc>
          <w:tcPr>
            <w:tcW w:w="0" w:type="auto"/>
            <w:vAlign w:val="center"/>
            <w:hideMark/>
          </w:tcPr>
          <w:p w14:paraId="251105DD" w14:textId="77777777" w:rsidR="00DB6168" w:rsidRDefault="00DB6168">
            <w:r>
              <w:t>3–5 years (as per IT Policy)</w:t>
            </w:r>
          </w:p>
        </w:tc>
        <w:tc>
          <w:tcPr>
            <w:tcW w:w="0" w:type="auto"/>
            <w:vAlign w:val="center"/>
            <w:hideMark/>
          </w:tcPr>
          <w:p w14:paraId="191AB5A5" w14:textId="77777777" w:rsidR="00DB6168" w:rsidRDefault="00DB6168">
            <w:r>
              <w:t>SIEM or Cloud Log Archive</w:t>
            </w:r>
          </w:p>
        </w:tc>
      </w:tr>
      <w:tr w:rsidR="00DB6168" w14:paraId="12BFCAF6" w14:textId="77777777" w:rsidTr="00DB6168">
        <w:trPr>
          <w:tblCellSpacing w:w="15" w:type="dxa"/>
        </w:trPr>
        <w:tc>
          <w:tcPr>
            <w:tcW w:w="0" w:type="auto"/>
            <w:vAlign w:val="center"/>
            <w:hideMark/>
          </w:tcPr>
          <w:p w14:paraId="01B58B6E" w14:textId="77777777" w:rsidR="00DB6168" w:rsidRDefault="00DB6168">
            <w:r>
              <w:t>Audit Working Papers</w:t>
            </w:r>
          </w:p>
        </w:tc>
        <w:tc>
          <w:tcPr>
            <w:tcW w:w="0" w:type="auto"/>
            <w:vAlign w:val="center"/>
            <w:hideMark/>
          </w:tcPr>
          <w:p w14:paraId="2CB2B482" w14:textId="77777777" w:rsidR="00DB6168" w:rsidRDefault="00DB6168">
            <w:r>
              <w:t>7 years</w:t>
            </w:r>
          </w:p>
        </w:tc>
        <w:tc>
          <w:tcPr>
            <w:tcW w:w="0" w:type="auto"/>
            <w:vAlign w:val="center"/>
            <w:hideMark/>
          </w:tcPr>
          <w:p w14:paraId="5EC3A5E2" w14:textId="77777777" w:rsidR="00DB6168" w:rsidRDefault="00DB6168">
            <w:r>
              <w:t>Internal Audit SharePoint</w:t>
            </w:r>
          </w:p>
        </w:tc>
      </w:tr>
    </w:tbl>
    <w:p w14:paraId="62D9FC82" w14:textId="38181344" w:rsidR="00DB6168" w:rsidRDefault="00DB6168" w:rsidP="00DB6168">
      <w:pPr>
        <w:pStyle w:val="NormalWeb"/>
      </w:pPr>
      <w:r>
        <w:t xml:space="preserve">Evidence older than the mandated retention period must be destroyed in accordance with the </w:t>
      </w:r>
      <w:r>
        <w:rPr>
          <w:rStyle w:val="Strong"/>
        </w:rPr>
        <w:t>Data Disposal Protocol</w:t>
      </w:r>
      <w:r>
        <w:t>, and destruction logs must be maintained.</w:t>
      </w:r>
    </w:p>
    <w:p w14:paraId="6760A18C" w14:textId="77777777" w:rsidR="00DB6168" w:rsidRDefault="00DB6168" w:rsidP="00DB6168">
      <w:pPr>
        <w:pStyle w:val="Heading2"/>
      </w:pPr>
      <w:r>
        <w:t>8. Review &amp; Update Mechanism</w:t>
      </w:r>
    </w:p>
    <w:p w14:paraId="01226748" w14:textId="77777777" w:rsidR="00DB6168" w:rsidRDefault="00DB6168" w:rsidP="00DB6168">
      <w:pPr>
        <w:pStyle w:val="NormalWeb"/>
      </w:pPr>
      <w:r>
        <w:t xml:space="preserve">To maintain the </w:t>
      </w:r>
      <w:r>
        <w:rPr>
          <w:rStyle w:val="Strong"/>
        </w:rPr>
        <w:t>relevance, effectiveness, and compliance</w:t>
      </w:r>
      <w:r>
        <w:t xml:space="preserve"> of RBEYOND’s internal controls, all controls undergo </w:t>
      </w:r>
      <w:r>
        <w:rPr>
          <w:rStyle w:val="Strong"/>
        </w:rPr>
        <w:t>scheduled reviews</w:t>
      </w:r>
      <w:r>
        <w:t xml:space="preserve">, are subject to </w:t>
      </w:r>
      <w:r>
        <w:rPr>
          <w:rStyle w:val="Strong"/>
        </w:rPr>
        <w:t>formal change management</w:t>
      </w:r>
      <w:r>
        <w:t xml:space="preserve">, and are tracked through a </w:t>
      </w:r>
      <w:r>
        <w:rPr>
          <w:rStyle w:val="Strong"/>
        </w:rPr>
        <w:t>version-controlled documentation system</w:t>
      </w:r>
      <w:r>
        <w:t>.</w:t>
      </w:r>
    </w:p>
    <w:p w14:paraId="1FE0EC75" w14:textId="77777777" w:rsidR="00DB6168" w:rsidRDefault="00DB6168" w:rsidP="00DB6168">
      <w:r>
        <w:pict w14:anchorId="237EEEDF">
          <v:rect id="_x0000_i1091" style="width:0;height:1.5pt" o:hralign="center" o:hrstd="t" o:hr="t" fillcolor="#a0a0a0" stroked="f"/>
        </w:pict>
      </w:r>
    </w:p>
    <w:p w14:paraId="12DBF9EF" w14:textId="77777777" w:rsidR="00DB6168" w:rsidRDefault="00DB6168" w:rsidP="00DB6168">
      <w:pPr>
        <w:pStyle w:val="Heading3"/>
      </w:pPr>
      <w:r>
        <w:t>8.1 Frequency of Control Reviews</w:t>
      </w:r>
    </w:p>
    <w:p w14:paraId="1C0FF1FF" w14:textId="77777777" w:rsidR="00DB6168" w:rsidRDefault="00DB6168" w:rsidP="00DB6168">
      <w:pPr>
        <w:pStyle w:val="NormalWeb"/>
      </w:pPr>
      <w:r>
        <w:t xml:space="preserve">All controls are reviewed based on their </w:t>
      </w:r>
      <w:r>
        <w:rPr>
          <w:rStyle w:val="Strong"/>
        </w:rPr>
        <w:t>risk rating, regulatory significance, and criticality to operations</w:t>
      </w:r>
      <w:r>
        <w:t>. The schedule is designed to ensure preventive identification of control obsolescence, design failure, or misalignment with real-world business conditions.</w:t>
      </w:r>
    </w:p>
    <w:p w14:paraId="2AC38D41" w14:textId="77777777" w:rsidR="00DB6168" w:rsidRDefault="00DB6168" w:rsidP="00DB6168">
      <w:pPr>
        <w:pStyle w:val="Heading4"/>
      </w:pPr>
      <w:r>
        <w:t>8.1.1 Review Frequency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3"/>
        <w:gridCol w:w="2274"/>
        <w:gridCol w:w="1929"/>
      </w:tblGrid>
      <w:tr w:rsidR="00DB6168" w14:paraId="7F9DD1F2" w14:textId="77777777" w:rsidTr="00DB6168">
        <w:trPr>
          <w:tblHeader/>
          <w:tblCellSpacing w:w="15" w:type="dxa"/>
        </w:trPr>
        <w:tc>
          <w:tcPr>
            <w:tcW w:w="0" w:type="auto"/>
            <w:vAlign w:val="center"/>
            <w:hideMark/>
          </w:tcPr>
          <w:p w14:paraId="2B0ECEFE" w14:textId="77777777" w:rsidR="00DB6168" w:rsidRDefault="00DB6168">
            <w:pPr>
              <w:jc w:val="center"/>
              <w:rPr>
                <w:b/>
                <w:bCs/>
              </w:rPr>
            </w:pPr>
            <w:r>
              <w:rPr>
                <w:b/>
                <w:bCs/>
              </w:rPr>
              <w:lastRenderedPageBreak/>
              <w:t>Control Category</w:t>
            </w:r>
          </w:p>
        </w:tc>
        <w:tc>
          <w:tcPr>
            <w:tcW w:w="0" w:type="auto"/>
            <w:vAlign w:val="center"/>
            <w:hideMark/>
          </w:tcPr>
          <w:p w14:paraId="7227B655" w14:textId="77777777" w:rsidR="00DB6168" w:rsidRDefault="00DB6168">
            <w:pPr>
              <w:jc w:val="center"/>
              <w:rPr>
                <w:b/>
                <w:bCs/>
              </w:rPr>
            </w:pPr>
            <w:r>
              <w:rPr>
                <w:b/>
                <w:bCs/>
              </w:rPr>
              <w:t>Review Frequency</w:t>
            </w:r>
          </w:p>
        </w:tc>
        <w:tc>
          <w:tcPr>
            <w:tcW w:w="0" w:type="auto"/>
            <w:vAlign w:val="center"/>
            <w:hideMark/>
          </w:tcPr>
          <w:p w14:paraId="788ACB15" w14:textId="77777777" w:rsidR="00DB6168" w:rsidRDefault="00DB6168">
            <w:pPr>
              <w:jc w:val="center"/>
              <w:rPr>
                <w:b/>
                <w:bCs/>
              </w:rPr>
            </w:pPr>
            <w:r>
              <w:rPr>
                <w:b/>
                <w:bCs/>
              </w:rPr>
              <w:t>Responsible Team</w:t>
            </w:r>
          </w:p>
        </w:tc>
      </w:tr>
      <w:tr w:rsidR="00DB6168" w14:paraId="3FAC8CD9" w14:textId="77777777" w:rsidTr="00DB6168">
        <w:trPr>
          <w:tblCellSpacing w:w="15" w:type="dxa"/>
        </w:trPr>
        <w:tc>
          <w:tcPr>
            <w:tcW w:w="0" w:type="auto"/>
            <w:vAlign w:val="center"/>
            <w:hideMark/>
          </w:tcPr>
          <w:p w14:paraId="648C31B7" w14:textId="77777777" w:rsidR="00DB6168" w:rsidRDefault="00DB6168">
            <w:r>
              <w:t>High-Risk Controls (e.g., AML, financial reporting, access control)</w:t>
            </w:r>
          </w:p>
        </w:tc>
        <w:tc>
          <w:tcPr>
            <w:tcW w:w="0" w:type="auto"/>
            <w:vAlign w:val="center"/>
            <w:hideMark/>
          </w:tcPr>
          <w:p w14:paraId="715C1C9C" w14:textId="77777777" w:rsidR="00DB6168" w:rsidRDefault="00DB6168">
            <w:r>
              <w:t>Quarterly</w:t>
            </w:r>
          </w:p>
        </w:tc>
        <w:tc>
          <w:tcPr>
            <w:tcW w:w="0" w:type="auto"/>
            <w:vAlign w:val="center"/>
            <w:hideMark/>
          </w:tcPr>
          <w:p w14:paraId="75C2726C" w14:textId="77777777" w:rsidR="00DB6168" w:rsidRDefault="00DB6168">
            <w:r>
              <w:t>Control Owners + Risk Team</w:t>
            </w:r>
          </w:p>
        </w:tc>
      </w:tr>
      <w:tr w:rsidR="00DB6168" w14:paraId="1DB89D59" w14:textId="77777777" w:rsidTr="00DB6168">
        <w:trPr>
          <w:tblCellSpacing w:w="15" w:type="dxa"/>
        </w:trPr>
        <w:tc>
          <w:tcPr>
            <w:tcW w:w="0" w:type="auto"/>
            <w:vAlign w:val="center"/>
            <w:hideMark/>
          </w:tcPr>
          <w:p w14:paraId="59A44529" w14:textId="77777777" w:rsidR="00DB6168" w:rsidRDefault="00DB6168">
            <w:r>
              <w:t>Moderate-Risk Controls (e.g., process-level reconciliations, manual approvals)</w:t>
            </w:r>
          </w:p>
        </w:tc>
        <w:tc>
          <w:tcPr>
            <w:tcW w:w="0" w:type="auto"/>
            <w:vAlign w:val="center"/>
            <w:hideMark/>
          </w:tcPr>
          <w:p w14:paraId="0DFE180E" w14:textId="77777777" w:rsidR="00DB6168" w:rsidRDefault="00DB6168">
            <w:r>
              <w:t>Semi-Annually</w:t>
            </w:r>
          </w:p>
        </w:tc>
        <w:tc>
          <w:tcPr>
            <w:tcW w:w="0" w:type="auto"/>
            <w:vAlign w:val="center"/>
            <w:hideMark/>
          </w:tcPr>
          <w:p w14:paraId="67ED829D" w14:textId="77777777" w:rsidR="00DB6168" w:rsidRDefault="00DB6168">
            <w:r>
              <w:t>Process Owners</w:t>
            </w:r>
          </w:p>
        </w:tc>
      </w:tr>
      <w:tr w:rsidR="00DB6168" w14:paraId="5116A2C0" w14:textId="77777777" w:rsidTr="00DB6168">
        <w:trPr>
          <w:tblCellSpacing w:w="15" w:type="dxa"/>
        </w:trPr>
        <w:tc>
          <w:tcPr>
            <w:tcW w:w="0" w:type="auto"/>
            <w:vAlign w:val="center"/>
            <w:hideMark/>
          </w:tcPr>
          <w:p w14:paraId="4E7930C7" w14:textId="77777777" w:rsidR="00DB6168" w:rsidRDefault="00DB6168">
            <w:r>
              <w:t>Low-Risk or Supporting Controls (e.g., documentation checklists, file naming standards)</w:t>
            </w:r>
          </w:p>
        </w:tc>
        <w:tc>
          <w:tcPr>
            <w:tcW w:w="0" w:type="auto"/>
            <w:vAlign w:val="center"/>
            <w:hideMark/>
          </w:tcPr>
          <w:p w14:paraId="1A512D25" w14:textId="77777777" w:rsidR="00DB6168" w:rsidRDefault="00DB6168">
            <w:r>
              <w:t>Annually</w:t>
            </w:r>
          </w:p>
        </w:tc>
        <w:tc>
          <w:tcPr>
            <w:tcW w:w="0" w:type="auto"/>
            <w:vAlign w:val="center"/>
            <w:hideMark/>
          </w:tcPr>
          <w:p w14:paraId="373D98AB" w14:textId="77777777" w:rsidR="00DB6168" w:rsidRDefault="00DB6168">
            <w:r>
              <w:t>Business Control Champions</w:t>
            </w:r>
          </w:p>
        </w:tc>
      </w:tr>
      <w:tr w:rsidR="00DB6168" w14:paraId="7DB08A5E" w14:textId="77777777" w:rsidTr="00DB6168">
        <w:trPr>
          <w:tblCellSpacing w:w="15" w:type="dxa"/>
        </w:trPr>
        <w:tc>
          <w:tcPr>
            <w:tcW w:w="0" w:type="auto"/>
            <w:vAlign w:val="center"/>
            <w:hideMark/>
          </w:tcPr>
          <w:p w14:paraId="6C6E764A" w14:textId="77777777" w:rsidR="00DB6168" w:rsidRDefault="00DB6168">
            <w:r>
              <w:t>Compliance-Controlled Areas (e.g., regulatory filings, data privacy)</w:t>
            </w:r>
          </w:p>
        </w:tc>
        <w:tc>
          <w:tcPr>
            <w:tcW w:w="0" w:type="auto"/>
            <w:vAlign w:val="center"/>
            <w:hideMark/>
          </w:tcPr>
          <w:p w14:paraId="64BCED37" w14:textId="77777777" w:rsidR="00DB6168" w:rsidRDefault="00DB6168">
            <w:r>
              <w:t>Quarterly or as per regulatory update</w:t>
            </w:r>
          </w:p>
        </w:tc>
        <w:tc>
          <w:tcPr>
            <w:tcW w:w="0" w:type="auto"/>
            <w:vAlign w:val="center"/>
            <w:hideMark/>
          </w:tcPr>
          <w:p w14:paraId="3EE54C65" w14:textId="77777777" w:rsidR="00DB6168" w:rsidRDefault="00DB6168">
            <w:r>
              <w:t>Compliance &amp; Legal</w:t>
            </w:r>
          </w:p>
        </w:tc>
      </w:tr>
      <w:tr w:rsidR="00DB6168" w14:paraId="6969D6D3" w14:textId="77777777" w:rsidTr="00DB6168">
        <w:trPr>
          <w:tblCellSpacing w:w="15" w:type="dxa"/>
        </w:trPr>
        <w:tc>
          <w:tcPr>
            <w:tcW w:w="0" w:type="auto"/>
            <w:vAlign w:val="center"/>
            <w:hideMark/>
          </w:tcPr>
          <w:p w14:paraId="78B92384" w14:textId="77777777" w:rsidR="00DB6168" w:rsidRDefault="00DB6168">
            <w:r>
              <w:t>IT and Cybersecurity Controls</w:t>
            </w:r>
          </w:p>
        </w:tc>
        <w:tc>
          <w:tcPr>
            <w:tcW w:w="0" w:type="auto"/>
            <w:vAlign w:val="center"/>
            <w:hideMark/>
          </w:tcPr>
          <w:p w14:paraId="71948A64" w14:textId="77777777" w:rsidR="00DB6168" w:rsidRDefault="00DB6168">
            <w:r>
              <w:t>Bi-annually</w:t>
            </w:r>
          </w:p>
        </w:tc>
        <w:tc>
          <w:tcPr>
            <w:tcW w:w="0" w:type="auto"/>
            <w:vAlign w:val="center"/>
            <w:hideMark/>
          </w:tcPr>
          <w:p w14:paraId="6A8E1FE0" w14:textId="77777777" w:rsidR="00DB6168" w:rsidRDefault="00DB6168">
            <w:r>
              <w:t>CISO Office</w:t>
            </w:r>
          </w:p>
        </w:tc>
      </w:tr>
    </w:tbl>
    <w:p w14:paraId="1C633F8F" w14:textId="77777777" w:rsidR="00DB6168" w:rsidRDefault="00DB6168" w:rsidP="00DB6168">
      <w:pPr>
        <w:pStyle w:val="NormalWeb"/>
      </w:pPr>
      <w:r>
        <w:t xml:space="preserve">The </w:t>
      </w:r>
      <w:r>
        <w:rPr>
          <w:rStyle w:val="Strong"/>
        </w:rPr>
        <w:t>Internal Audit</w:t>
      </w:r>
      <w:r>
        <w:t xml:space="preserve"> and </w:t>
      </w:r>
      <w:r>
        <w:rPr>
          <w:rStyle w:val="Strong"/>
        </w:rPr>
        <w:t>GRC Platform</w:t>
      </w:r>
      <w:r>
        <w:t xml:space="preserve"> issue automated alerts for overdue reviews and ensure reminders are sent to control owners before the review window.</w:t>
      </w:r>
    </w:p>
    <w:p w14:paraId="268A21CC" w14:textId="77777777" w:rsidR="00DB6168" w:rsidRDefault="00DB6168" w:rsidP="00DB6168">
      <w:r>
        <w:pict w14:anchorId="579E9370">
          <v:rect id="_x0000_i1092" style="width:0;height:1.5pt" o:hralign="center" o:hrstd="t" o:hr="t" fillcolor="#a0a0a0" stroked="f"/>
        </w:pict>
      </w:r>
    </w:p>
    <w:p w14:paraId="1C3F6894" w14:textId="77777777" w:rsidR="00DB6168" w:rsidRDefault="00DB6168" w:rsidP="00DB6168">
      <w:pPr>
        <w:pStyle w:val="Heading3"/>
      </w:pPr>
      <w:r>
        <w:t>8.2 Process for Updating Controls (Change Management)</w:t>
      </w:r>
    </w:p>
    <w:p w14:paraId="479BA498" w14:textId="77777777" w:rsidR="00DB6168" w:rsidRDefault="00DB6168" w:rsidP="00DB6168">
      <w:pPr>
        <w:pStyle w:val="NormalWeb"/>
      </w:pPr>
      <w:r>
        <w:t xml:space="preserve">Control changes—whether due to internal transformation, external regulations, or audit recommendations—must follow RBEYOND’s </w:t>
      </w:r>
      <w:r>
        <w:rPr>
          <w:rStyle w:val="Strong"/>
        </w:rPr>
        <w:t>Control Change Management Procedure (CCMP)</w:t>
      </w:r>
      <w:r>
        <w:t>. This ensures that any control modification is documented, risk-assessed, tested, and approved before going live.</w:t>
      </w:r>
    </w:p>
    <w:p w14:paraId="39064937" w14:textId="77777777" w:rsidR="00DB6168" w:rsidRDefault="00DB6168" w:rsidP="00DB6168">
      <w:pPr>
        <w:pStyle w:val="Heading4"/>
      </w:pPr>
      <w:r>
        <w:t>8.2.1 Control Update Workflow</w:t>
      </w:r>
    </w:p>
    <w:p w14:paraId="41338F55" w14:textId="77777777" w:rsidR="00DB6168" w:rsidRDefault="00DB6168" w:rsidP="00DB6168">
      <w:pPr>
        <w:pStyle w:val="NormalWeb"/>
        <w:numPr>
          <w:ilvl w:val="0"/>
          <w:numId w:val="33"/>
        </w:numPr>
      </w:pPr>
      <w:r>
        <w:rPr>
          <w:rStyle w:val="Strong"/>
        </w:rPr>
        <w:t>Change Trigger:</w:t>
      </w:r>
    </w:p>
    <w:p w14:paraId="720E8D3D" w14:textId="77777777" w:rsidR="00DB6168" w:rsidRDefault="00DB6168" w:rsidP="00DB6168">
      <w:pPr>
        <w:pStyle w:val="NormalWeb"/>
        <w:numPr>
          <w:ilvl w:val="1"/>
          <w:numId w:val="33"/>
        </w:numPr>
      </w:pPr>
      <w:r>
        <w:t>Regulatory update</w:t>
      </w:r>
    </w:p>
    <w:p w14:paraId="334D4370" w14:textId="77777777" w:rsidR="00DB6168" w:rsidRDefault="00DB6168" w:rsidP="00DB6168">
      <w:pPr>
        <w:pStyle w:val="NormalWeb"/>
        <w:numPr>
          <w:ilvl w:val="1"/>
          <w:numId w:val="33"/>
        </w:numPr>
      </w:pPr>
      <w:r>
        <w:t>Process redesign</w:t>
      </w:r>
    </w:p>
    <w:p w14:paraId="3620F748" w14:textId="77777777" w:rsidR="00DB6168" w:rsidRDefault="00DB6168" w:rsidP="00DB6168">
      <w:pPr>
        <w:pStyle w:val="NormalWeb"/>
        <w:numPr>
          <w:ilvl w:val="1"/>
          <w:numId w:val="33"/>
        </w:numPr>
      </w:pPr>
      <w:r>
        <w:t>New IT system implementation</w:t>
      </w:r>
    </w:p>
    <w:p w14:paraId="29BB4599" w14:textId="77777777" w:rsidR="00DB6168" w:rsidRDefault="00DB6168" w:rsidP="00DB6168">
      <w:pPr>
        <w:pStyle w:val="NormalWeb"/>
        <w:numPr>
          <w:ilvl w:val="1"/>
          <w:numId w:val="33"/>
        </w:numPr>
      </w:pPr>
      <w:r>
        <w:t>Internal audit finding</w:t>
      </w:r>
    </w:p>
    <w:p w14:paraId="1069BA27" w14:textId="77777777" w:rsidR="00DB6168" w:rsidRDefault="00DB6168" w:rsidP="00DB6168">
      <w:pPr>
        <w:pStyle w:val="NormalWeb"/>
        <w:numPr>
          <w:ilvl w:val="1"/>
          <w:numId w:val="33"/>
        </w:numPr>
      </w:pPr>
      <w:r>
        <w:t>Risk assessment or incident</w:t>
      </w:r>
    </w:p>
    <w:p w14:paraId="43172D27" w14:textId="77777777" w:rsidR="00DB6168" w:rsidRDefault="00DB6168" w:rsidP="00DB6168">
      <w:pPr>
        <w:pStyle w:val="NormalWeb"/>
        <w:numPr>
          <w:ilvl w:val="0"/>
          <w:numId w:val="33"/>
        </w:numPr>
      </w:pPr>
      <w:r>
        <w:rPr>
          <w:rStyle w:val="Strong"/>
        </w:rPr>
        <w:t>Change Request Submission:</w:t>
      </w:r>
      <w:r>
        <w:br/>
        <w:t xml:space="preserve">Control Owner raises a </w:t>
      </w:r>
      <w:r>
        <w:rPr>
          <w:rStyle w:val="Strong"/>
        </w:rPr>
        <w:t>Control Change Request (CCR)</w:t>
      </w:r>
      <w:r>
        <w:t xml:space="preserve"> in the GRC platform, specifying:</w:t>
      </w:r>
    </w:p>
    <w:p w14:paraId="6B2C19D7" w14:textId="77777777" w:rsidR="00DB6168" w:rsidRDefault="00DB6168" w:rsidP="00DB6168">
      <w:pPr>
        <w:pStyle w:val="NormalWeb"/>
        <w:numPr>
          <w:ilvl w:val="1"/>
          <w:numId w:val="33"/>
        </w:numPr>
      </w:pPr>
      <w:r>
        <w:t>Justification for the change</w:t>
      </w:r>
    </w:p>
    <w:p w14:paraId="15E843CB" w14:textId="77777777" w:rsidR="00DB6168" w:rsidRDefault="00DB6168" w:rsidP="00DB6168">
      <w:pPr>
        <w:pStyle w:val="NormalWeb"/>
        <w:numPr>
          <w:ilvl w:val="1"/>
          <w:numId w:val="33"/>
        </w:numPr>
      </w:pPr>
      <w:r>
        <w:t>Risk rating impact</w:t>
      </w:r>
    </w:p>
    <w:p w14:paraId="0A7D91CD" w14:textId="77777777" w:rsidR="00DB6168" w:rsidRDefault="00DB6168" w:rsidP="00DB6168">
      <w:pPr>
        <w:pStyle w:val="NormalWeb"/>
        <w:numPr>
          <w:ilvl w:val="1"/>
          <w:numId w:val="33"/>
        </w:numPr>
      </w:pPr>
      <w:r>
        <w:t>Affected processes and departments</w:t>
      </w:r>
    </w:p>
    <w:p w14:paraId="0E4F0ACA" w14:textId="77777777" w:rsidR="00DB6168" w:rsidRDefault="00DB6168" w:rsidP="00DB6168">
      <w:pPr>
        <w:pStyle w:val="NormalWeb"/>
        <w:numPr>
          <w:ilvl w:val="1"/>
          <w:numId w:val="33"/>
        </w:numPr>
      </w:pPr>
      <w:r>
        <w:t>Expected go-live date</w:t>
      </w:r>
    </w:p>
    <w:p w14:paraId="095DAC65" w14:textId="77777777" w:rsidR="00DB6168" w:rsidRDefault="00DB6168" w:rsidP="00DB6168">
      <w:pPr>
        <w:pStyle w:val="NormalWeb"/>
        <w:numPr>
          <w:ilvl w:val="0"/>
          <w:numId w:val="33"/>
        </w:numPr>
      </w:pPr>
      <w:r>
        <w:rPr>
          <w:rStyle w:val="Strong"/>
        </w:rPr>
        <w:t>Risk &amp; Impact Assessment:</w:t>
      </w:r>
      <w:r>
        <w:br/>
        <w:t>Risk Management and Internal Audit assess the:</w:t>
      </w:r>
    </w:p>
    <w:p w14:paraId="69AB5D54" w14:textId="77777777" w:rsidR="00DB6168" w:rsidRDefault="00DB6168" w:rsidP="00DB6168">
      <w:pPr>
        <w:pStyle w:val="NormalWeb"/>
        <w:numPr>
          <w:ilvl w:val="1"/>
          <w:numId w:val="33"/>
        </w:numPr>
      </w:pPr>
      <w:r>
        <w:t>Control design strength</w:t>
      </w:r>
    </w:p>
    <w:p w14:paraId="6E285A05" w14:textId="77777777" w:rsidR="00DB6168" w:rsidRDefault="00DB6168" w:rsidP="00DB6168">
      <w:pPr>
        <w:pStyle w:val="NormalWeb"/>
        <w:numPr>
          <w:ilvl w:val="1"/>
          <w:numId w:val="33"/>
        </w:numPr>
      </w:pPr>
      <w:r>
        <w:t>Impact on KRIs, regulatory obligations</w:t>
      </w:r>
    </w:p>
    <w:p w14:paraId="1D127159" w14:textId="77777777" w:rsidR="00DB6168" w:rsidRDefault="00DB6168" w:rsidP="00DB6168">
      <w:pPr>
        <w:pStyle w:val="NormalWeb"/>
        <w:numPr>
          <w:ilvl w:val="1"/>
          <w:numId w:val="33"/>
        </w:numPr>
      </w:pPr>
      <w:r>
        <w:t>Dependency on automation or manual workflows</w:t>
      </w:r>
    </w:p>
    <w:p w14:paraId="67931CCD" w14:textId="77777777" w:rsidR="00DB6168" w:rsidRDefault="00DB6168" w:rsidP="00DB6168">
      <w:pPr>
        <w:pStyle w:val="NormalWeb"/>
        <w:numPr>
          <w:ilvl w:val="0"/>
          <w:numId w:val="33"/>
        </w:numPr>
      </w:pPr>
      <w:r>
        <w:rPr>
          <w:rStyle w:val="Strong"/>
        </w:rPr>
        <w:lastRenderedPageBreak/>
        <w:t>Pilot Testing (if applicable):</w:t>
      </w:r>
      <w:r>
        <w:br/>
        <w:t>New control version is piloted in a test or non-critical environment for functionality and integration.</w:t>
      </w:r>
    </w:p>
    <w:p w14:paraId="11C4CA87" w14:textId="77777777" w:rsidR="00DB6168" w:rsidRDefault="00DB6168" w:rsidP="00DB6168">
      <w:pPr>
        <w:pStyle w:val="NormalWeb"/>
        <w:numPr>
          <w:ilvl w:val="0"/>
          <w:numId w:val="33"/>
        </w:numPr>
      </w:pPr>
      <w:r>
        <w:rPr>
          <w:rStyle w:val="Strong"/>
        </w:rPr>
        <w:t>Formal Approval:</w:t>
      </w:r>
      <w:r>
        <w:br/>
        <w:t>Control changes require approvals from:</w:t>
      </w:r>
    </w:p>
    <w:p w14:paraId="459A5FA7" w14:textId="77777777" w:rsidR="00DB6168" w:rsidRDefault="00DB6168" w:rsidP="00DB6168">
      <w:pPr>
        <w:pStyle w:val="NormalWeb"/>
        <w:numPr>
          <w:ilvl w:val="1"/>
          <w:numId w:val="33"/>
        </w:numPr>
      </w:pPr>
      <w:r>
        <w:t>Risk &amp; Controls Team (design validation)</w:t>
      </w:r>
    </w:p>
    <w:p w14:paraId="4E5475DD" w14:textId="77777777" w:rsidR="00DB6168" w:rsidRDefault="00DB6168" w:rsidP="00DB6168">
      <w:pPr>
        <w:pStyle w:val="NormalWeb"/>
        <w:numPr>
          <w:ilvl w:val="1"/>
          <w:numId w:val="33"/>
        </w:numPr>
      </w:pPr>
      <w:r>
        <w:t>Process Owner / Function Head (execution capability)</w:t>
      </w:r>
    </w:p>
    <w:p w14:paraId="193A8437" w14:textId="77777777" w:rsidR="00DB6168" w:rsidRDefault="00DB6168" w:rsidP="00DB6168">
      <w:pPr>
        <w:pStyle w:val="NormalWeb"/>
        <w:numPr>
          <w:ilvl w:val="1"/>
          <w:numId w:val="33"/>
        </w:numPr>
      </w:pPr>
      <w:r>
        <w:t>Compliance (if regulatory)</w:t>
      </w:r>
    </w:p>
    <w:p w14:paraId="74EEFF27" w14:textId="77777777" w:rsidR="00DB6168" w:rsidRDefault="00DB6168" w:rsidP="00DB6168">
      <w:pPr>
        <w:pStyle w:val="NormalWeb"/>
        <w:numPr>
          <w:ilvl w:val="1"/>
          <w:numId w:val="33"/>
        </w:numPr>
      </w:pPr>
      <w:r>
        <w:t>Internal Audit (for closure of related observations)</w:t>
      </w:r>
    </w:p>
    <w:p w14:paraId="0FBF7ED2" w14:textId="77777777" w:rsidR="00DB6168" w:rsidRDefault="00DB6168" w:rsidP="00DB6168">
      <w:pPr>
        <w:pStyle w:val="NormalWeb"/>
        <w:numPr>
          <w:ilvl w:val="0"/>
          <w:numId w:val="33"/>
        </w:numPr>
      </w:pPr>
      <w:r>
        <w:rPr>
          <w:rStyle w:val="Strong"/>
        </w:rPr>
        <w:t>Training &amp; Communication:</w:t>
      </w:r>
      <w:r>
        <w:br/>
        <w:t>Updated controls are communicated to affected teams through internal bulletins, training sessions, or intranet updates.</w:t>
      </w:r>
    </w:p>
    <w:p w14:paraId="4070F74F" w14:textId="77777777" w:rsidR="00DB6168" w:rsidRDefault="00DB6168" w:rsidP="00DB6168">
      <w:pPr>
        <w:pStyle w:val="NormalWeb"/>
        <w:numPr>
          <w:ilvl w:val="0"/>
          <w:numId w:val="33"/>
        </w:numPr>
      </w:pPr>
      <w:r>
        <w:rPr>
          <w:rStyle w:val="Strong"/>
        </w:rPr>
        <w:t>Implementation &amp; Documentation:</w:t>
      </w:r>
      <w:r>
        <w:br/>
        <w:t xml:space="preserve">Final control version is published with new </w:t>
      </w:r>
      <w:r>
        <w:rPr>
          <w:rStyle w:val="Strong"/>
        </w:rPr>
        <w:t>control ID version</w:t>
      </w:r>
      <w:r>
        <w:t>, mapped documents/templates, and attached evidence requirements.</w:t>
      </w:r>
    </w:p>
    <w:p w14:paraId="48CC744E" w14:textId="77777777" w:rsidR="00DB6168" w:rsidRDefault="00DB6168" w:rsidP="00DB6168">
      <w:r>
        <w:pict w14:anchorId="798B12E4">
          <v:rect id="_x0000_i1093" style="width:0;height:1.5pt" o:hralign="center" o:hrstd="t" o:hr="t" fillcolor="#a0a0a0" stroked="f"/>
        </w:pict>
      </w:r>
    </w:p>
    <w:p w14:paraId="6696AFAC" w14:textId="77777777" w:rsidR="00DB6168" w:rsidRDefault="00DB6168" w:rsidP="00DB6168">
      <w:pPr>
        <w:pStyle w:val="Heading3"/>
      </w:pPr>
      <w:r>
        <w:t>8.3 Version Control &amp; Approval History</w:t>
      </w:r>
    </w:p>
    <w:p w14:paraId="3DDE436F" w14:textId="77777777" w:rsidR="00DB6168" w:rsidRDefault="00DB6168" w:rsidP="00DB6168">
      <w:pPr>
        <w:pStyle w:val="NormalWeb"/>
      </w:pPr>
      <w:r>
        <w:t xml:space="preserve">All controls in the </w:t>
      </w:r>
      <w:r>
        <w:rPr>
          <w:rStyle w:val="Strong"/>
        </w:rPr>
        <w:t>Control Inventory Register (CIR)</w:t>
      </w:r>
      <w:r>
        <w:t xml:space="preserve"> are subject to </w:t>
      </w:r>
      <w:r>
        <w:rPr>
          <w:rStyle w:val="Strong"/>
        </w:rPr>
        <w:t>strict version control</w:t>
      </w:r>
      <w:r>
        <w:t xml:space="preserve"> managed via the GRC system. Every control update is assigned a unique version number and carries an immutable audit trail.</w:t>
      </w:r>
    </w:p>
    <w:p w14:paraId="12CDCD06" w14:textId="77777777" w:rsidR="00DB6168" w:rsidRDefault="00DB6168" w:rsidP="00DB6168">
      <w:pPr>
        <w:pStyle w:val="Heading4"/>
      </w:pPr>
      <w:r>
        <w:t>8.3.1 Versioning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5131"/>
      </w:tblGrid>
      <w:tr w:rsidR="00DB6168" w14:paraId="76577ADE" w14:textId="77777777" w:rsidTr="00DB6168">
        <w:trPr>
          <w:tblHeader/>
          <w:tblCellSpacing w:w="15" w:type="dxa"/>
        </w:trPr>
        <w:tc>
          <w:tcPr>
            <w:tcW w:w="0" w:type="auto"/>
            <w:vAlign w:val="center"/>
            <w:hideMark/>
          </w:tcPr>
          <w:p w14:paraId="7C3F0E88" w14:textId="77777777" w:rsidR="00DB6168" w:rsidRDefault="00DB6168">
            <w:pPr>
              <w:jc w:val="center"/>
              <w:rPr>
                <w:b/>
                <w:bCs/>
              </w:rPr>
            </w:pPr>
            <w:r>
              <w:rPr>
                <w:b/>
                <w:bCs/>
              </w:rPr>
              <w:t>Element</w:t>
            </w:r>
          </w:p>
        </w:tc>
        <w:tc>
          <w:tcPr>
            <w:tcW w:w="0" w:type="auto"/>
            <w:vAlign w:val="center"/>
            <w:hideMark/>
          </w:tcPr>
          <w:p w14:paraId="1A1D6FD2" w14:textId="77777777" w:rsidR="00DB6168" w:rsidRDefault="00DB6168">
            <w:pPr>
              <w:jc w:val="center"/>
              <w:rPr>
                <w:b/>
                <w:bCs/>
              </w:rPr>
            </w:pPr>
            <w:r>
              <w:rPr>
                <w:b/>
                <w:bCs/>
              </w:rPr>
              <w:t>Format Example</w:t>
            </w:r>
          </w:p>
        </w:tc>
      </w:tr>
      <w:tr w:rsidR="00DB6168" w14:paraId="00FD4AA1" w14:textId="77777777" w:rsidTr="00DB6168">
        <w:trPr>
          <w:tblCellSpacing w:w="15" w:type="dxa"/>
        </w:trPr>
        <w:tc>
          <w:tcPr>
            <w:tcW w:w="0" w:type="auto"/>
            <w:vAlign w:val="center"/>
            <w:hideMark/>
          </w:tcPr>
          <w:p w14:paraId="15117D9A" w14:textId="77777777" w:rsidR="00DB6168" w:rsidRDefault="00DB6168">
            <w:r>
              <w:t>Control ID</w:t>
            </w:r>
          </w:p>
        </w:tc>
        <w:tc>
          <w:tcPr>
            <w:tcW w:w="0" w:type="auto"/>
            <w:vAlign w:val="center"/>
            <w:hideMark/>
          </w:tcPr>
          <w:p w14:paraId="5B0C4699" w14:textId="77777777" w:rsidR="00DB6168" w:rsidRDefault="00DB6168">
            <w:r>
              <w:t>FIN-001-JE (Financial → Journal Entry)</w:t>
            </w:r>
          </w:p>
        </w:tc>
      </w:tr>
      <w:tr w:rsidR="00DB6168" w14:paraId="6A3C5B97" w14:textId="77777777" w:rsidTr="00DB6168">
        <w:trPr>
          <w:tblCellSpacing w:w="15" w:type="dxa"/>
        </w:trPr>
        <w:tc>
          <w:tcPr>
            <w:tcW w:w="0" w:type="auto"/>
            <w:vAlign w:val="center"/>
            <w:hideMark/>
          </w:tcPr>
          <w:p w14:paraId="1024BD4F" w14:textId="77777777" w:rsidR="00DB6168" w:rsidRDefault="00DB6168">
            <w:r>
              <w:t>Version Number</w:t>
            </w:r>
          </w:p>
        </w:tc>
        <w:tc>
          <w:tcPr>
            <w:tcW w:w="0" w:type="auto"/>
            <w:vAlign w:val="center"/>
            <w:hideMark/>
          </w:tcPr>
          <w:p w14:paraId="6C7F49BA" w14:textId="77777777" w:rsidR="00DB6168" w:rsidRDefault="00DB6168">
            <w:r>
              <w:t>v1.0 (Initial), v1.1 (Minor Change), v2.0 (Major Redesign)</w:t>
            </w:r>
          </w:p>
        </w:tc>
      </w:tr>
      <w:tr w:rsidR="00DB6168" w14:paraId="40AD2177" w14:textId="77777777" w:rsidTr="00DB6168">
        <w:trPr>
          <w:tblCellSpacing w:w="15" w:type="dxa"/>
        </w:trPr>
        <w:tc>
          <w:tcPr>
            <w:tcW w:w="0" w:type="auto"/>
            <w:vAlign w:val="center"/>
            <w:hideMark/>
          </w:tcPr>
          <w:p w14:paraId="2892B18F" w14:textId="77777777" w:rsidR="00DB6168" w:rsidRDefault="00DB6168">
            <w:r>
              <w:t>Effective Date</w:t>
            </w:r>
          </w:p>
        </w:tc>
        <w:tc>
          <w:tcPr>
            <w:tcW w:w="0" w:type="auto"/>
            <w:vAlign w:val="center"/>
            <w:hideMark/>
          </w:tcPr>
          <w:p w14:paraId="1EB27E89" w14:textId="77777777" w:rsidR="00DB6168" w:rsidRDefault="00DB6168">
            <w:r>
              <w:t>July 3, 2025</w:t>
            </w:r>
          </w:p>
        </w:tc>
      </w:tr>
      <w:tr w:rsidR="00DB6168" w14:paraId="47A33105" w14:textId="77777777" w:rsidTr="00DB6168">
        <w:trPr>
          <w:tblCellSpacing w:w="15" w:type="dxa"/>
        </w:trPr>
        <w:tc>
          <w:tcPr>
            <w:tcW w:w="0" w:type="auto"/>
            <w:vAlign w:val="center"/>
            <w:hideMark/>
          </w:tcPr>
          <w:p w14:paraId="4CE9A7F3" w14:textId="77777777" w:rsidR="00DB6168" w:rsidRDefault="00DB6168">
            <w:r>
              <w:t>Status</w:t>
            </w:r>
          </w:p>
        </w:tc>
        <w:tc>
          <w:tcPr>
            <w:tcW w:w="0" w:type="auto"/>
            <w:vAlign w:val="center"/>
            <w:hideMark/>
          </w:tcPr>
          <w:p w14:paraId="3ADCE753" w14:textId="77777777" w:rsidR="00DB6168" w:rsidRDefault="00DB6168">
            <w:r>
              <w:t>Draft, Active, Under Review, Archived</w:t>
            </w:r>
          </w:p>
        </w:tc>
      </w:tr>
    </w:tbl>
    <w:p w14:paraId="5A9C6CCC" w14:textId="77777777" w:rsidR="00DB6168" w:rsidRDefault="00DB6168" w:rsidP="00DB6168">
      <w:pPr>
        <w:pStyle w:val="Heading4"/>
      </w:pPr>
      <w:r>
        <w:t>8.3.2 Approval History Log</w:t>
      </w:r>
    </w:p>
    <w:p w14:paraId="3E06C219" w14:textId="77777777" w:rsidR="00DB6168" w:rsidRDefault="00DB6168" w:rsidP="00DB6168">
      <w:pPr>
        <w:pStyle w:val="NormalWeb"/>
      </w:pPr>
      <w:r>
        <w:t xml:space="preserve">Each control contains a structured </w:t>
      </w:r>
      <w:r>
        <w:rPr>
          <w:rStyle w:val="Strong"/>
        </w:rPr>
        <w:t>approval history</w:t>
      </w:r>
      <w:r>
        <w:t xml:space="preserve"> embedded in its metadata: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7"/>
        <w:gridCol w:w="4199"/>
      </w:tblGrid>
      <w:tr w:rsidR="00DB6168" w14:paraId="0FD6B21D" w14:textId="77777777" w:rsidTr="00DB6168">
        <w:trPr>
          <w:tblHeader/>
          <w:tblCellSpacing w:w="15" w:type="dxa"/>
        </w:trPr>
        <w:tc>
          <w:tcPr>
            <w:tcW w:w="0" w:type="auto"/>
            <w:vAlign w:val="center"/>
            <w:hideMark/>
          </w:tcPr>
          <w:p w14:paraId="245119D1" w14:textId="77777777" w:rsidR="00DB6168" w:rsidRDefault="00DB6168">
            <w:pPr>
              <w:jc w:val="center"/>
              <w:rPr>
                <w:b/>
                <w:bCs/>
              </w:rPr>
            </w:pPr>
            <w:r>
              <w:rPr>
                <w:b/>
                <w:bCs/>
              </w:rPr>
              <w:t>Field</w:t>
            </w:r>
          </w:p>
        </w:tc>
        <w:tc>
          <w:tcPr>
            <w:tcW w:w="0" w:type="auto"/>
            <w:vAlign w:val="center"/>
            <w:hideMark/>
          </w:tcPr>
          <w:p w14:paraId="56582D82" w14:textId="77777777" w:rsidR="00DB6168" w:rsidRDefault="00DB6168">
            <w:pPr>
              <w:jc w:val="center"/>
              <w:rPr>
                <w:b/>
                <w:bCs/>
              </w:rPr>
            </w:pPr>
            <w:r>
              <w:rPr>
                <w:b/>
                <w:bCs/>
              </w:rPr>
              <w:t>Example</w:t>
            </w:r>
          </w:p>
        </w:tc>
      </w:tr>
      <w:tr w:rsidR="00DB6168" w14:paraId="5377D4E1" w14:textId="77777777" w:rsidTr="00DB6168">
        <w:trPr>
          <w:tblCellSpacing w:w="15" w:type="dxa"/>
        </w:trPr>
        <w:tc>
          <w:tcPr>
            <w:tcW w:w="0" w:type="auto"/>
            <w:vAlign w:val="center"/>
            <w:hideMark/>
          </w:tcPr>
          <w:p w14:paraId="3A7BCCDD" w14:textId="77777777" w:rsidR="00DB6168" w:rsidRDefault="00DB6168">
            <w:r>
              <w:t>Change Initiated By</w:t>
            </w:r>
          </w:p>
        </w:tc>
        <w:tc>
          <w:tcPr>
            <w:tcW w:w="0" w:type="auto"/>
            <w:vAlign w:val="center"/>
            <w:hideMark/>
          </w:tcPr>
          <w:p w14:paraId="3A6F1B51" w14:textId="77777777" w:rsidR="00DB6168" w:rsidRDefault="00DB6168">
            <w:r>
              <w:t>Finance Controller</w:t>
            </w:r>
          </w:p>
        </w:tc>
      </w:tr>
      <w:tr w:rsidR="00DB6168" w14:paraId="166D6040" w14:textId="77777777" w:rsidTr="00DB6168">
        <w:trPr>
          <w:tblCellSpacing w:w="15" w:type="dxa"/>
        </w:trPr>
        <w:tc>
          <w:tcPr>
            <w:tcW w:w="0" w:type="auto"/>
            <w:vAlign w:val="center"/>
            <w:hideMark/>
          </w:tcPr>
          <w:p w14:paraId="372EAF81" w14:textId="77777777" w:rsidR="00DB6168" w:rsidRDefault="00DB6168">
            <w:r>
              <w:t>Risk Impact Assessment Completed By</w:t>
            </w:r>
          </w:p>
        </w:tc>
        <w:tc>
          <w:tcPr>
            <w:tcW w:w="0" w:type="auto"/>
            <w:vAlign w:val="center"/>
            <w:hideMark/>
          </w:tcPr>
          <w:p w14:paraId="150FB3B2" w14:textId="77777777" w:rsidR="00DB6168" w:rsidRDefault="00DB6168">
            <w:r>
              <w:t>Risk Manager</w:t>
            </w:r>
          </w:p>
        </w:tc>
      </w:tr>
      <w:tr w:rsidR="00DB6168" w14:paraId="42238CB9" w14:textId="77777777" w:rsidTr="00DB6168">
        <w:trPr>
          <w:tblCellSpacing w:w="15" w:type="dxa"/>
        </w:trPr>
        <w:tc>
          <w:tcPr>
            <w:tcW w:w="0" w:type="auto"/>
            <w:vAlign w:val="center"/>
            <w:hideMark/>
          </w:tcPr>
          <w:p w14:paraId="7D122DA5" w14:textId="77777777" w:rsidR="00DB6168" w:rsidRDefault="00DB6168">
            <w:r>
              <w:t>Approved By</w:t>
            </w:r>
          </w:p>
        </w:tc>
        <w:tc>
          <w:tcPr>
            <w:tcW w:w="0" w:type="auto"/>
            <w:vAlign w:val="center"/>
            <w:hideMark/>
          </w:tcPr>
          <w:p w14:paraId="3D6E0E33" w14:textId="77777777" w:rsidR="00DB6168" w:rsidRDefault="00DB6168">
            <w:r>
              <w:t>CRO, CCO</w:t>
            </w:r>
          </w:p>
        </w:tc>
      </w:tr>
      <w:tr w:rsidR="00DB6168" w14:paraId="4DDA9CC1" w14:textId="77777777" w:rsidTr="00DB6168">
        <w:trPr>
          <w:tblCellSpacing w:w="15" w:type="dxa"/>
        </w:trPr>
        <w:tc>
          <w:tcPr>
            <w:tcW w:w="0" w:type="auto"/>
            <w:vAlign w:val="center"/>
            <w:hideMark/>
          </w:tcPr>
          <w:p w14:paraId="68DA7902" w14:textId="77777777" w:rsidR="00DB6168" w:rsidRDefault="00DB6168">
            <w:r>
              <w:t>Final Review Date</w:t>
            </w:r>
          </w:p>
        </w:tc>
        <w:tc>
          <w:tcPr>
            <w:tcW w:w="0" w:type="auto"/>
            <w:vAlign w:val="center"/>
            <w:hideMark/>
          </w:tcPr>
          <w:p w14:paraId="20613FD5" w14:textId="77777777" w:rsidR="00DB6168" w:rsidRDefault="00DB6168">
            <w:r>
              <w:t>June 30, 2025</w:t>
            </w:r>
          </w:p>
        </w:tc>
      </w:tr>
      <w:tr w:rsidR="00DB6168" w14:paraId="7C6A55AB" w14:textId="77777777" w:rsidTr="00DB6168">
        <w:trPr>
          <w:tblCellSpacing w:w="15" w:type="dxa"/>
        </w:trPr>
        <w:tc>
          <w:tcPr>
            <w:tcW w:w="0" w:type="auto"/>
            <w:vAlign w:val="center"/>
            <w:hideMark/>
          </w:tcPr>
          <w:p w14:paraId="56BC71CD" w14:textId="77777777" w:rsidR="00DB6168" w:rsidRDefault="00DB6168">
            <w:r>
              <w:lastRenderedPageBreak/>
              <w:t>Next Scheduled Review</w:t>
            </w:r>
          </w:p>
        </w:tc>
        <w:tc>
          <w:tcPr>
            <w:tcW w:w="0" w:type="auto"/>
            <w:vAlign w:val="center"/>
            <w:hideMark/>
          </w:tcPr>
          <w:p w14:paraId="1666AF93" w14:textId="77777777" w:rsidR="00DB6168" w:rsidRDefault="00DB6168">
            <w:r>
              <w:t>September 30, 2025</w:t>
            </w:r>
          </w:p>
        </w:tc>
      </w:tr>
      <w:tr w:rsidR="00DB6168" w14:paraId="6491DDD2" w14:textId="77777777" w:rsidTr="00DB6168">
        <w:trPr>
          <w:tblCellSpacing w:w="15" w:type="dxa"/>
        </w:trPr>
        <w:tc>
          <w:tcPr>
            <w:tcW w:w="0" w:type="auto"/>
            <w:vAlign w:val="center"/>
            <w:hideMark/>
          </w:tcPr>
          <w:p w14:paraId="166574F7" w14:textId="77777777" w:rsidR="00DB6168" w:rsidRDefault="00DB6168">
            <w:r>
              <w:t>Linked Audit Observation (if any)</w:t>
            </w:r>
          </w:p>
        </w:tc>
        <w:tc>
          <w:tcPr>
            <w:tcW w:w="0" w:type="auto"/>
            <w:vAlign w:val="center"/>
            <w:hideMark/>
          </w:tcPr>
          <w:p w14:paraId="4D44D450" w14:textId="77777777" w:rsidR="00DB6168" w:rsidRDefault="00DB6168">
            <w:r>
              <w:t>IA-FY24-FIN-12 (Unsegregated journal entries)</w:t>
            </w:r>
          </w:p>
        </w:tc>
      </w:tr>
    </w:tbl>
    <w:p w14:paraId="4AF7BC8C" w14:textId="77777777" w:rsidR="00DB6168" w:rsidRDefault="00DB6168" w:rsidP="00DB6168">
      <w:pPr>
        <w:pStyle w:val="NormalWeb"/>
      </w:pPr>
      <w:r>
        <w:t xml:space="preserve">All historical versions of control documents are archived and accessible for internal or regulatory audits. Archived controls are clearly marked as </w:t>
      </w:r>
      <w:r>
        <w:rPr>
          <w:rStyle w:val="Strong"/>
        </w:rPr>
        <w:t>“Obsolete – Not in Use”</w:t>
      </w:r>
      <w:r>
        <w:t xml:space="preserve"> and are excluded from current test cycles.</w:t>
      </w:r>
    </w:p>
    <w:p w14:paraId="6B8CF363" w14:textId="77777777" w:rsidR="00DB6168" w:rsidRDefault="00DB6168" w:rsidP="00DB6168">
      <w:pPr>
        <w:pStyle w:val="Heading2"/>
      </w:pPr>
      <w:r>
        <w:t>9. Annexures</w:t>
      </w:r>
    </w:p>
    <w:p w14:paraId="1961FB61" w14:textId="77777777" w:rsidR="00DB6168" w:rsidRDefault="00DB6168" w:rsidP="00DB6168">
      <w:pPr>
        <w:pStyle w:val="NormalWeb"/>
      </w:pPr>
      <w:r>
        <w:t xml:space="preserve">This section includes supplemental documents and reference materials critical for the effective implementation and understanding of the internal control framework. All annexures are maintained in digital form and accessible via RBEYOND’s </w:t>
      </w:r>
      <w:r>
        <w:rPr>
          <w:rStyle w:val="Strong"/>
        </w:rPr>
        <w:t>GRC Portal</w:t>
      </w:r>
      <w:r>
        <w:t xml:space="preserve"> under the “Control Documentation” module.</w:t>
      </w:r>
    </w:p>
    <w:p w14:paraId="5EF5669E" w14:textId="77777777" w:rsidR="00DB6168" w:rsidRDefault="00DB6168" w:rsidP="00DB6168">
      <w:r>
        <w:pict w14:anchorId="743248F1">
          <v:rect id="_x0000_i1097" style="width:0;height:1.5pt" o:hralign="center" o:hrstd="t" o:hr="t" fillcolor="#a0a0a0" stroked="f"/>
        </w:pict>
      </w:r>
    </w:p>
    <w:p w14:paraId="076EA5F3" w14:textId="77777777" w:rsidR="00DB6168" w:rsidRDefault="00DB6168" w:rsidP="00DB6168">
      <w:pPr>
        <w:pStyle w:val="Heading3"/>
      </w:pPr>
      <w:r>
        <w:t>9.1 Annexure A – Glossary of Key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7520"/>
      </w:tblGrid>
      <w:tr w:rsidR="00DB6168" w14:paraId="1CAEAB03" w14:textId="77777777" w:rsidTr="00DB6168">
        <w:trPr>
          <w:tblHeader/>
          <w:tblCellSpacing w:w="15" w:type="dxa"/>
        </w:trPr>
        <w:tc>
          <w:tcPr>
            <w:tcW w:w="0" w:type="auto"/>
            <w:vAlign w:val="center"/>
            <w:hideMark/>
          </w:tcPr>
          <w:p w14:paraId="3AE119FE" w14:textId="77777777" w:rsidR="00DB6168" w:rsidRDefault="00DB6168">
            <w:pPr>
              <w:jc w:val="center"/>
              <w:rPr>
                <w:b/>
                <w:bCs/>
              </w:rPr>
            </w:pPr>
            <w:r>
              <w:rPr>
                <w:b/>
                <w:bCs/>
              </w:rPr>
              <w:t>Term</w:t>
            </w:r>
          </w:p>
        </w:tc>
        <w:tc>
          <w:tcPr>
            <w:tcW w:w="0" w:type="auto"/>
            <w:vAlign w:val="center"/>
            <w:hideMark/>
          </w:tcPr>
          <w:p w14:paraId="68AF0062" w14:textId="77777777" w:rsidR="00DB6168" w:rsidRDefault="00DB6168">
            <w:pPr>
              <w:jc w:val="center"/>
              <w:rPr>
                <w:b/>
                <w:bCs/>
              </w:rPr>
            </w:pPr>
            <w:r>
              <w:rPr>
                <w:b/>
                <w:bCs/>
              </w:rPr>
              <w:t>Definition</w:t>
            </w:r>
          </w:p>
        </w:tc>
      </w:tr>
      <w:tr w:rsidR="00DB6168" w14:paraId="1AA58DB9" w14:textId="77777777" w:rsidTr="00DB6168">
        <w:trPr>
          <w:tblCellSpacing w:w="15" w:type="dxa"/>
        </w:trPr>
        <w:tc>
          <w:tcPr>
            <w:tcW w:w="0" w:type="auto"/>
            <w:vAlign w:val="center"/>
            <w:hideMark/>
          </w:tcPr>
          <w:p w14:paraId="73E34BC8" w14:textId="77777777" w:rsidR="00DB6168" w:rsidRDefault="00DB6168">
            <w:r>
              <w:rPr>
                <w:rStyle w:val="Strong"/>
              </w:rPr>
              <w:t>Control Owner</w:t>
            </w:r>
          </w:p>
        </w:tc>
        <w:tc>
          <w:tcPr>
            <w:tcW w:w="0" w:type="auto"/>
            <w:vAlign w:val="center"/>
            <w:hideMark/>
          </w:tcPr>
          <w:p w14:paraId="71DF329C" w14:textId="77777777" w:rsidR="00DB6168" w:rsidRDefault="00DB6168">
            <w:r>
              <w:t>The individual or function responsible for implementing and executing a specific control.</w:t>
            </w:r>
          </w:p>
        </w:tc>
      </w:tr>
      <w:tr w:rsidR="00DB6168" w14:paraId="12224393" w14:textId="77777777" w:rsidTr="00DB6168">
        <w:trPr>
          <w:tblCellSpacing w:w="15" w:type="dxa"/>
        </w:trPr>
        <w:tc>
          <w:tcPr>
            <w:tcW w:w="0" w:type="auto"/>
            <w:vAlign w:val="center"/>
            <w:hideMark/>
          </w:tcPr>
          <w:p w14:paraId="5C3AC035" w14:textId="77777777" w:rsidR="00DB6168" w:rsidRDefault="00DB6168">
            <w:r>
              <w:rPr>
                <w:rStyle w:val="Strong"/>
              </w:rPr>
              <w:t>Control Reviewer</w:t>
            </w:r>
          </w:p>
        </w:tc>
        <w:tc>
          <w:tcPr>
            <w:tcW w:w="0" w:type="auto"/>
            <w:vAlign w:val="center"/>
            <w:hideMark/>
          </w:tcPr>
          <w:p w14:paraId="54EC8E77" w14:textId="77777777" w:rsidR="00DB6168" w:rsidRDefault="00DB6168">
            <w:r>
              <w:t>A party independent of the Control Owner responsible for verifying control effectiveness.</w:t>
            </w:r>
          </w:p>
        </w:tc>
      </w:tr>
      <w:tr w:rsidR="00DB6168" w14:paraId="7AAE60E5" w14:textId="77777777" w:rsidTr="00DB6168">
        <w:trPr>
          <w:tblCellSpacing w:w="15" w:type="dxa"/>
        </w:trPr>
        <w:tc>
          <w:tcPr>
            <w:tcW w:w="0" w:type="auto"/>
            <w:vAlign w:val="center"/>
            <w:hideMark/>
          </w:tcPr>
          <w:p w14:paraId="478717CC" w14:textId="77777777" w:rsidR="00DB6168" w:rsidRDefault="00DB6168">
            <w:r>
              <w:rPr>
                <w:rStyle w:val="Strong"/>
              </w:rPr>
              <w:t>GRC Platform</w:t>
            </w:r>
          </w:p>
        </w:tc>
        <w:tc>
          <w:tcPr>
            <w:tcW w:w="0" w:type="auto"/>
            <w:vAlign w:val="center"/>
            <w:hideMark/>
          </w:tcPr>
          <w:p w14:paraId="24A8CC32" w14:textId="77777777" w:rsidR="00DB6168" w:rsidRDefault="00DB6168">
            <w:r>
              <w:t>Governance, Risk &amp; Compliance system used for managing controls, risks, issues, and documentation.</w:t>
            </w:r>
          </w:p>
        </w:tc>
      </w:tr>
      <w:tr w:rsidR="00DB6168" w14:paraId="660843C8" w14:textId="77777777" w:rsidTr="00DB6168">
        <w:trPr>
          <w:tblCellSpacing w:w="15" w:type="dxa"/>
        </w:trPr>
        <w:tc>
          <w:tcPr>
            <w:tcW w:w="0" w:type="auto"/>
            <w:vAlign w:val="center"/>
            <w:hideMark/>
          </w:tcPr>
          <w:p w14:paraId="0EC81D04" w14:textId="77777777" w:rsidR="00DB6168" w:rsidRDefault="00DB6168">
            <w:r>
              <w:rPr>
                <w:rStyle w:val="Strong"/>
              </w:rPr>
              <w:t>Control ID</w:t>
            </w:r>
          </w:p>
        </w:tc>
        <w:tc>
          <w:tcPr>
            <w:tcW w:w="0" w:type="auto"/>
            <w:vAlign w:val="center"/>
            <w:hideMark/>
          </w:tcPr>
          <w:p w14:paraId="2E0DE49E" w14:textId="77777777" w:rsidR="00DB6168" w:rsidRDefault="00DB6168">
            <w:r>
              <w:t>A unique identifier assigned to each control for tracking and audit purposes.</w:t>
            </w:r>
          </w:p>
        </w:tc>
      </w:tr>
      <w:tr w:rsidR="00DB6168" w14:paraId="62979C53" w14:textId="77777777" w:rsidTr="00DB6168">
        <w:trPr>
          <w:tblCellSpacing w:w="15" w:type="dxa"/>
        </w:trPr>
        <w:tc>
          <w:tcPr>
            <w:tcW w:w="0" w:type="auto"/>
            <w:vAlign w:val="center"/>
            <w:hideMark/>
          </w:tcPr>
          <w:p w14:paraId="661D4D4F" w14:textId="77777777" w:rsidR="00DB6168" w:rsidRDefault="00DB6168">
            <w:r>
              <w:rPr>
                <w:rStyle w:val="Strong"/>
              </w:rPr>
              <w:t>KPI</w:t>
            </w:r>
          </w:p>
        </w:tc>
        <w:tc>
          <w:tcPr>
            <w:tcW w:w="0" w:type="auto"/>
            <w:vAlign w:val="center"/>
            <w:hideMark/>
          </w:tcPr>
          <w:p w14:paraId="0D2BC0FF" w14:textId="77777777" w:rsidR="00DB6168" w:rsidRDefault="00DB6168">
            <w:r>
              <w:t>Key Performance Indicator – a metric that measures control performance.</w:t>
            </w:r>
          </w:p>
        </w:tc>
      </w:tr>
      <w:tr w:rsidR="00DB6168" w14:paraId="731790EE" w14:textId="77777777" w:rsidTr="00DB6168">
        <w:trPr>
          <w:tblCellSpacing w:w="15" w:type="dxa"/>
        </w:trPr>
        <w:tc>
          <w:tcPr>
            <w:tcW w:w="0" w:type="auto"/>
            <w:vAlign w:val="center"/>
            <w:hideMark/>
          </w:tcPr>
          <w:p w14:paraId="6D550400" w14:textId="77777777" w:rsidR="00DB6168" w:rsidRDefault="00DB6168">
            <w:r>
              <w:rPr>
                <w:rStyle w:val="Strong"/>
              </w:rPr>
              <w:t>KRI</w:t>
            </w:r>
          </w:p>
        </w:tc>
        <w:tc>
          <w:tcPr>
            <w:tcW w:w="0" w:type="auto"/>
            <w:vAlign w:val="center"/>
            <w:hideMark/>
          </w:tcPr>
          <w:p w14:paraId="71876AC2" w14:textId="77777777" w:rsidR="00DB6168" w:rsidRDefault="00DB6168">
            <w:r>
              <w:t>Key Risk Indicator – a metric that signals potential risk exposures.</w:t>
            </w:r>
          </w:p>
        </w:tc>
      </w:tr>
      <w:tr w:rsidR="00DB6168" w14:paraId="7E96B29E" w14:textId="77777777" w:rsidTr="00DB6168">
        <w:trPr>
          <w:tblCellSpacing w:w="15" w:type="dxa"/>
        </w:trPr>
        <w:tc>
          <w:tcPr>
            <w:tcW w:w="0" w:type="auto"/>
            <w:vAlign w:val="center"/>
            <w:hideMark/>
          </w:tcPr>
          <w:p w14:paraId="6A1FEF6C" w14:textId="77777777" w:rsidR="00DB6168" w:rsidRDefault="00DB6168">
            <w:proofErr w:type="spellStart"/>
            <w:r>
              <w:rPr>
                <w:rStyle w:val="Strong"/>
              </w:rPr>
              <w:t>SoD</w:t>
            </w:r>
            <w:proofErr w:type="spellEnd"/>
          </w:p>
        </w:tc>
        <w:tc>
          <w:tcPr>
            <w:tcW w:w="0" w:type="auto"/>
            <w:vAlign w:val="center"/>
            <w:hideMark/>
          </w:tcPr>
          <w:p w14:paraId="6630F0E7" w14:textId="77777777" w:rsidR="00DB6168" w:rsidRDefault="00DB6168">
            <w:r>
              <w:t>Segregation of Duties – a principle to prevent conflict of interest by separating responsibilities.</w:t>
            </w:r>
          </w:p>
        </w:tc>
      </w:tr>
      <w:tr w:rsidR="00DB6168" w14:paraId="3D505FBD" w14:textId="77777777" w:rsidTr="00DB6168">
        <w:trPr>
          <w:tblCellSpacing w:w="15" w:type="dxa"/>
        </w:trPr>
        <w:tc>
          <w:tcPr>
            <w:tcW w:w="0" w:type="auto"/>
            <w:vAlign w:val="center"/>
            <w:hideMark/>
          </w:tcPr>
          <w:p w14:paraId="764F5C65" w14:textId="77777777" w:rsidR="00DB6168" w:rsidRDefault="00DB6168">
            <w:r>
              <w:rPr>
                <w:rStyle w:val="Strong"/>
              </w:rPr>
              <w:t>Control Failure</w:t>
            </w:r>
          </w:p>
        </w:tc>
        <w:tc>
          <w:tcPr>
            <w:tcW w:w="0" w:type="auto"/>
            <w:vAlign w:val="center"/>
            <w:hideMark/>
          </w:tcPr>
          <w:p w14:paraId="5D98786A" w14:textId="77777777" w:rsidR="00DB6168" w:rsidRDefault="00DB6168">
            <w:r>
              <w:t>A situation where a control does not operate as designed or fails to mitigate associated risk.</w:t>
            </w:r>
          </w:p>
        </w:tc>
      </w:tr>
      <w:tr w:rsidR="00DB6168" w14:paraId="714F0828" w14:textId="77777777" w:rsidTr="00DB6168">
        <w:trPr>
          <w:tblCellSpacing w:w="15" w:type="dxa"/>
        </w:trPr>
        <w:tc>
          <w:tcPr>
            <w:tcW w:w="0" w:type="auto"/>
            <w:vAlign w:val="center"/>
            <w:hideMark/>
          </w:tcPr>
          <w:p w14:paraId="4F759859" w14:textId="77777777" w:rsidR="00DB6168" w:rsidRDefault="00DB6168">
            <w:r>
              <w:rPr>
                <w:rStyle w:val="Strong"/>
              </w:rPr>
              <w:t>RCA</w:t>
            </w:r>
          </w:p>
        </w:tc>
        <w:tc>
          <w:tcPr>
            <w:tcW w:w="0" w:type="auto"/>
            <w:vAlign w:val="center"/>
            <w:hideMark/>
          </w:tcPr>
          <w:p w14:paraId="6D625B22" w14:textId="77777777" w:rsidR="00DB6168" w:rsidRDefault="00DB6168">
            <w:r>
              <w:t>Root Cause Analysis – a structured approach to determine the underlying reason for a control failure.</w:t>
            </w:r>
          </w:p>
        </w:tc>
      </w:tr>
      <w:tr w:rsidR="00DB6168" w14:paraId="3FC58C5C" w14:textId="77777777" w:rsidTr="00DB6168">
        <w:trPr>
          <w:tblCellSpacing w:w="15" w:type="dxa"/>
        </w:trPr>
        <w:tc>
          <w:tcPr>
            <w:tcW w:w="0" w:type="auto"/>
            <w:vAlign w:val="center"/>
            <w:hideMark/>
          </w:tcPr>
          <w:p w14:paraId="7FF8DA71" w14:textId="77777777" w:rsidR="00DB6168" w:rsidRDefault="00DB6168">
            <w:r>
              <w:rPr>
                <w:rStyle w:val="Strong"/>
              </w:rPr>
              <w:t>CCR</w:t>
            </w:r>
          </w:p>
        </w:tc>
        <w:tc>
          <w:tcPr>
            <w:tcW w:w="0" w:type="auto"/>
            <w:vAlign w:val="center"/>
            <w:hideMark/>
          </w:tcPr>
          <w:p w14:paraId="08E12142" w14:textId="77777777" w:rsidR="00DB6168" w:rsidRDefault="00DB6168">
            <w:r>
              <w:t>Control Change Request – a formal request raised to modify, replace, or retire a control.</w:t>
            </w:r>
          </w:p>
        </w:tc>
      </w:tr>
    </w:tbl>
    <w:p w14:paraId="18A685C8" w14:textId="77777777" w:rsidR="00DB6168" w:rsidRDefault="00DB6168" w:rsidP="00DB6168">
      <w:r>
        <w:lastRenderedPageBreak/>
        <w:pict w14:anchorId="482538F1">
          <v:rect id="_x0000_i1098" style="width:0;height:1.5pt" o:hralign="center" o:hrstd="t" o:hr="t" fillcolor="#a0a0a0" stroked="f"/>
        </w:pict>
      </w:r>
    </w:p>
    <w:p w14:paraId="476713C3" w14:textId="77777777" w:rsidR="00DB6168" w:rsidRDefault="00DB6168" w:rsidP="00DB6168">
      <w:pPr>
        <w:pStyle w:val="Heading3"/>
      </w:pPr>
      <w:r>
        <w:t>9.2 Annexure B – Sample Control Register (Excerpt)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1667"/>
        <w:gridCol w:w="1018"/>
        <w:gridCol w:w="1125"/>
        <w:gridCol w:w="1381"/>
        <w:gridCol w:w="1224"/>
        <w:gridCol w:w="1737"/>
      </w:tblGrid>
      <w:tr w:rsidR="00DB6168" w14:paraId="17CDBDC1" w14:textId="77777777" w:rsidTr="00DB6168">
        <w:trPr>
          <w:tblHeader/>
          <w:tblCellSpacing w:w="15" w:type="dxa"/>
        </w:trPr>
        <w:tc>
          <w:tcPr>
            <w:tcW w:w="0" w:type="auto"/>
            <w:vAlign w:val="center"/>
            <w:hideMark/>
          </w:tcPr>
          <w:p w14:paraId="586DEBF7" w14:textId="77777777" w:rsidR="00DB6168" w:rsidRDefault="00DB6168">
            <w:pPr>
              <w:jc w:val="center"/>
              <w:rPr>
                <w:b/>
                <w:bCs/>
              </w:rPr>
            </w:pPr>
            <w:r>
              <w:rPr>
                <w:b/>
                <w:bCs/>
              </w:rPr>
              <w:t>Control ID</w:t>
            </w:r>
          </w:p>
        </w:tc>
        <w:tc>
          <w:tcPr>
            <w:tcW w:w="0" w:type="auto"/>
            <w:vAlign w:val="center"/>
            <w:hideMark/>
          </w:tcPr>
          <w:p w14:paraId="0C02518E" w14:textId="77777777" w:rsidR="00DB6168" w:rsidRDefault="00DB6168">
            <w:pPr>
              <w:jc w:val="center"/>
              <w:rPr>
                <w:b/>
                <w:bCs/>
              </w:rPr>
            </w:pPr>
            <w:r>
              <w:rPr>
                <w:b/>
                <w:bCs/>
              </w:rPr>
              <w:t>Description</w:t>
            </w:r>
          </w:p>
        </w:tc>
        <w:tc>
          <w:tcPr>
            <w:tcW w:w="0" w:type="auto"/>
            <w:vAlign w:val="center"/>
            <w:hideMark/>
          </w:tcPr>
          <w:p w14:paraId="4FFF5A80" w14:textId="77777777" w:rsidR="00DB6168" w:rsidRDefault="00DB6168">
            <w:pPr>
              <w:jc w:val="center"/>
              <w:rPr>
                <w:b/>
                <w:bCs/>
              </w:rPr>
            </w:pPr>
            <w:r>
              <w:rPr>
                <w:b/>
                <w:bCs/>
              </w:rPr>
              <w:t>Type</w:t>
            </w:r>
          </w:p>
        </w:tc>
        <w:tc>
          <w:tcPr>
            <w:tcW w:w="0" w:type="auto"/>
            <w:vAlign w:val="center"/>
            <w:hideMark/>
          </w:tcPr>
          <w:p w14:paraId="123FB6E5" w14:textId="77777777" w:rsidR="00DB6168" w:rsidRDefault="00DB6168">
            <w:pPr>
              <w:jc w:val="center"/>
              <w:rPr>
                <w:b/>
                <w:bCs/>
              </w:rPr>
            </w:pPr>
            <w:r>
              <w:rPr>
                <w:b/>
                <w:bCs/>
              </w:rPr>
              <w:t>Frequency</w:t>
            </w:r>
          </w:p>
        </w:tc>
        <w:tc>
          <w:tcPr>
            <w:tcW w:w="0" w:type="auto"/>
            <w:vAlign w:val="center"/>
            <w:hideMark/>
          </w:tcPr>
          <w:p w14:paraId="3158333A" w14:textId="77777777" w:rsidR="00DB6168" w:rsidRDefault="00DB6168">
            <w:pPr>
              <w:jc w:val="center"/>
              <w:rPr>
                <w:b/>
                <w:bCs/>
              </w:rPr>
            </w:pPr>
            <w:r>
              <w:rPr>
                <w:b/>
                <w:bCs/>
              </w:rPr>
              <w:t>Owner</w:t>
            </w:r>
          </w:p>
        </w:tc>
        <w:tc>
          <w:tcPr>
            <w:tcW w:w="0" w:type="auto"/>
            <w:vAlign w:val="center"/>
            <w:hideMark/>
          </w:tcPr>
          <w:p w14:paraId="1FB20F37" w14:textId="77777777" w:rsidR="00DB6168" w:rsidRDefault="00DB6168">
            <w:pPr>
              <w:jc w:val="center"/>
              <w:rPr>
                <w:b/>
                <w:bCs/>
              </w:rPr>
            </w:pPr>
            <w:r>
              <w:rPr>
                <w:b/>
                <w:bCs/>
              </w:rPr>
              <w:t>Reviewer</w:t>
            </w:r>
          </w:p>
        </w:tc>
        <w:tc>
          <w:tcPr>
            <w:tcW w:w="0" w:type="auto"/>
            <w:vAlign w:val="center"/>
            <w:hideMark/>
          </w:tcPr>
          <w:p w14:paraId="0CFE6DFA" w14:textId="77777777" w:rsidR="00DB6168" w:rsidRDefault="00DB6168">
            <w:pPr>
              <w:jc w:val="center"/>
              <w:rPr>
                <w:b/>
                <w:bCs/>
              </w:rPr>
            </w:pPr>
            <w:r>
              <w:rPr>
                <w:b/>
                <w:bCs/>
              </w:rPr>
              <w:t>Evidence Required</w:t>
            </w:r>
          </w:p>
        </w:tc>
      </w:tr>
      <w:tr w:rsidR="00DB6168" w14:paraId="11CC4A2F" w14:textId="77777777" w:rsidTr="00DB6168">
        <w:trPr>
          <w:tblCellSpacing w:w="15" w:type="dxa"/>
        </w:trPr>
        <w:tc>
          <w:tcPr>
            <w:tcW w:w="0" w:type="auto"/>
            <w:vAlign w:val="center"/>
            <w:hideMark/>
          </w:tcPr>
          <w:p w14:paraId="4AF555DA" w14:textId="77777777" w:rsidR="00DB6168" w:rsidRDefault="00DB6168">
            <w:r>
              <w:t>FIN-001-JE</w:t>
            </w:r>
          </w:p>
        </w:tc>
        <w:tc>
          <w:tcPr>
            <w:tcW w:w="0" w:type="auto"/>
            <w:vAlign w:val="center"/>
            <w:hideMark/>
          </w:tcPr>
          <w:p w14:paraId="40EB63A3" w14:textId="77777777" w:rsidR="00DB6168" w:rsidRDefault="00DB6168">
            <w:r>
              <w:t>Journal Entry Approval</w:t>
            </w:r>
          </w:p>
        </w:tc>
        <w:tc>
          <w:tcPr>
            <w:tcW w:w="0" w:type="auto"/>
            <w:vAlign w:val="center"/>
            <w:hideMark/>
          </w:tcPr>
          <w:p w14:paraId="215A3D15" w14:textId="77777777" w:rsidR="00DB6168" w:rsidRDefault="00DB6168">
            <w:r>
              <w:t>Preventive</w:t>
            </w:r>
          </w:p>
        </w:tc>
        <w:tc>
          <w:tcPr>
            <w:tcW w:w="0" w:type="auto"/>
            <w:vAlign w:val="center"/>
            <w:hideMark/>
          </w:tcPr>
          <w:p w14:paraId="1DE61271" w14:textId="77777777" w:rsidR="00DB6168" w:rsidRDefault="00DB6168">
            <w:r>
              <w:t>Monthly</w:t>
            </w:r>
          </w:p>
        </w:tc>
        <w:tc>
          <w:tcPr>
            <w:tcW w:w="0" w:type="auto"/>
            <w:vAlign w:val="center"/>
            <w:hideMark/>
          </w:tcPr>
          <w:p w14:paraId="1E5E3B4A" w14:textId="77777777" w:rsidR="00DB6168" w:rsidRDefault="00DB6168">
            <w:r>
              <w:t>GL Controller</w:t>
            </w:r>
          </w:p>
        </w:tc>
        <w:tc>
          <w:tcPr>
            <w:tcW w:w="0" w:type="auto"/>
            <w:vAlign w:val="center"/>
            <w:hideMark/>
          </w:tcPr>
          <w:p w14:paraId="20154F3D" w14:textId="77777777" w:rsidR="00DB6168" w:rsidRDefault="00DB6168">
            <w:r>
              <w:t>Finance Head</w:t>
            </w:r>
          </w:p>
        </w:tc>
        <w:tc>
          <w:tcPr>
            <w:tcW w:w="0" w:type="auto"/>
            <w:vAlign w:val="center"/>
            <w:hideMark/>
          </w:tcPr>
          <w:p w14:paraId="6C8DAA54" w14:textId="77777777" w:rsidR="00DB6168" w:rsidRDefault="00DB6168">
            <w:r>
              <w:t>Approved JE forms, supporting docs</w:t>
            </w:r>
          </w:p>
        </w:tc>
      </w:tr>
      <w:tr w:rsidR="00DB6168" w14:paraId="3D7C54B9" w14:textId="77777777" w:rsidTr="00DB6168">
        <w:trPr>
          <w:tblCellSpacing w:w="15" w:type="dxa"/>
        </w:trPr>
        <w:tc>
          <w:tcPr>
            <w:tcW w:w="0" w:type="auto"/>
            <w:vAlign w:val="center"/>
            <w:hideMark/>
          </w:tcPr>
          <w:p w14:paraId="6546B5AE" w14:textId="77777777" w:rsidR="00DB6168" w:rsidRDefault="00DB6168">
            <w:r>
              <w:t>IT-004-AC</w:t>
            </w:r>
          </w:p>
        </w:tc>
        <w:tc>
          <w:tcPr>
            <w:tcW w:w="0" w:type="auto"/>
            <w:vAlign w:val="center"/>
            <w:hideMark/>
          </w:tcPr>
          <w:p w14:paraId="64B4AE6C" w14:textId="77777777" w:rsidR="00DB6168" w:rsidRDefault="00DB6168">
            <w:r>
              <w:t>User Access Provisioning</w:t>
            </w:r>
          </w:p>
        </w:tc>
        <w:tc>
          <w:tcPr>
            <w:tcW w:w="0" w:type="auto"/>
            <w:vAlign w:val="center"/>
            <w:hideMark/>
          </w:tcPr>
          <w:p w14:paraId="029459C0" w14:textId="77777777" w:rsidR="00DB6168" w:rsidRDefault="00DB6168">
            <w:r>
              <w:t>Preventive</w:t>
            </w:r>
          </w:p>
        </w:tc>
        <w:tc>
          <w:tcPr>
            <w:tcW w:w="0" w:type="auto"/>
            <w:vAlign w:val="center"/>
            <w:hideMark/>
          </w:tcPr>
          <w:p w14:paraId="1043DF8A" w14:textId="77777777" w:rsidR="00DB6168" w:rsidRDefault="00DB6168">
            <w:r>
              <w:t>Per Request</w:t>
            </w:r>
          </w:p>
        </w:tc>
        <w:tc>
          <w:tcPr>
            <w:tcW w:w="0" w:type="auto"/>
            <w:vAlign w:val="center"/>
            <w:hideMark/>
          </w:tcPr>
          <w:p w14:paraId="16E35AE0" w14:textId="77777777" w:rsidR="00DB6168" w:rsidRDefault="00DB6168">
            <w:r>
              <w:t>IT Security Admin</w:t>
            </w:r>
          </w:p>
        </w:tc>
        <w:tc>
          <w:tcPr>
            <w:tcW w:w="0" w:type="auto"/>
            <w:vAlign w:val="center"/>
            <w:hideMark/>
          </w:tcPr>
          <w:p w14:paraId="2B21EE29" w14:textId="77777777" w:rsidR="00DB6168" w:rsidRDefault="00DB6168">
            <w:r>
              <w:t>CISO Office</w:t>
            </w:r>
          </w:p>
        </w:tc>
        <w:tc>
          <w:tcPr>
            <w:tcW w:w="0" w:type="auto"/>
            <w:vAlign w:val="center"/>
            <w:hideMark/>
          </w:tcPr>
          <w:p w14:paraId="4FBA69DE" w14:textId="77777777" w:rsidR="00DB6168" w:rsidRDefault="00DB6168">
            <w:r>
              <w:t>Access request form, approval email</w:t>
            </w:r>
          </w:p>
        </w:tc>
      </w:tr>
      <w:tr w:rsidR="00DB6168" w14:paraId="6F0E2389" w14:textId="77777777" w:rsidTr="00DB6168">
        <w:trPr>
          <w:tblCellSpacing w:w="15" w:type="dxa"/>
        </w:trPr>
        <w:tc>
          <w:tcPr>
            <w:tcW w:w="0" w:type="auto"/>
            <w:vAlign w:val="center"/>
            <w:hideMark/>
          </w:tcPr>
          <w:p w14:paraId="65CB0656" w14:textId="77777777" w:rsidR="00DB6168" w:rsidRDefault="00DB6168">
            <w:r>
              <w:t>AML-003-TX</w:t>
            </w:r>
          </w:p>
        </w:tc>
        <w:tc>
          <w:tcPr>
            <w:tcW w:w="0" w:type="auto"/>
            <w:vAlign w:val="center"/>
            <w:hideMark/>
          </w:tcPr>
          <w:p w14:paraId="38BEF5DF" w14:textId="77777777" w:rsidR="00DB6168" w:rsidRDefault="00DB6168">
            <w:r>
              <w:t>Suspicious Transaction Screening</w:t>
            </w:r>
          </w:p>
        </w:tc>
        <w:tc>
          <w:tcPr>
            <w:tcW w:w="0" w:type="auto"/>
            <w:vAlign w:val="center"/>
            <w:hideMark/>
          </w:tcPr>
          <w:p w14:paraId="10EB43AE" w14:textId="77777777" w:rsidR="00DB6168" w:rsidRDefault="00DB6168">
            <w:r>
              <w:t>Detective</w:t>
            </w:r>
          </w:p>
        </w:tc>
        <w:tc>
          <w:tcPr>
            <w:tcW w:w="0" w:type="auto"/>
            <w:vAlign w:val="center"/>
            <w:hideMark/>
          </w:tcPr>
          <w:p w14:paraId="2C90319E" w14:textId="77777777" w:rsidR="00DB6168" w:rsidRDefault="00DB6168">
            <w:r>
              <w:t>Real-time</w:t>
            </w:r>
          </w:p>
        </w:tc>
        <w:tc>
          <w:tcPr>
            <w:tcW w:w="0" w:type="auto"/>
            <w:vAlign w:val="center"/>
            <w:hideMark/>
          </w:tcPr>
          <w:p w14:paraId="32CC5836" w14:textId="77777777" w:rsidR="00DB6168" w:rsidRDefault="00DB6168">
            <w:r>
              <w:t>AML Compliance Officer</w:t>
            </w:r>
          </w:p>
        </w:tc>
        <w:tc>
          <w:tcPr>
            <w:tcW w:w="0" w:type="auto"/>
            <w:vAlign w:val="center"/>
            <w:hideMark/>
          </w:tcPr>
          <w:p w14:paraId="6460D2FA" w14:textId="77777777" w:rsidR="00DB6168" w:rsidRDefault="00DB6168">
            <w:r>
              <w:t>Risk Manager</w:t>
            </w:r>
          </w:p>
        </w:tc>
        <w:tc>
          <w:tcPr>
            <w:tcW w:w="0" w:type="auto"/>
            <w:vAlign w:val="center"/>
            <w:hideMark/>
          </w:tcPr>
          <w:p w14:paraId="718AA5F9" w14:textId="77777777" w:rsidR="00DB6168" w:rsidRDefault="00DB6168">
            <w:r>
              <w:t>AML tool logs, flagged transaction review</w:t>
            </w:r>
          </w:p>
        </w:tc>
      </w:tr>
      <w:tr w:rsidR="00DB6168" w14:paraId="0DFFF44E" w14:textId="77777777" w:rsidTr="00DB6168">
        <w:trPr>
          <w:tblCellSpacing w:w="15" w:type="dxa"/>
        </w:trPr>
        <w:tc>
          <w:tcPr>
            <w:tcW w:w="0" w:type="auto"/>
            <w:vAlign w:val="center"/>
            <w:hideMark/>
          </w:tcPr>
          <w:p w14:paraId="0C763622" w14:textId="77777777" w:rsidR="00DB6168" w:rsidRDefault="00DB6168">
            <w:r>
              <w:t>REG-002-LCR</w:t>
            </w:r>
          </w:p>
        </w:tc>
        <w:tc>
          <w:tcPr>
            <w:tcW w:w="0" w:type="auto"/>
            <w:vAlign w:val="center"/>
            <w:hideMark/>
          </w:tcPr>
          <w:p w14:paraId="2E077777" w14:textId="77777777" w:rsidR="00DB6168" w:rsidRDefault="00DB6168">
            <w:r>
              <w:t>Liquidity Coverage Ratio Calculation</w:t>
            </w:r>
          </w:p>
        </w:tc>
        <w:tc>
          <w:tcPr>
            <w:tcW w:w="0" w:type="auto"/>
            <w:vAlign w:val="center"/>
            <w:hideMark/>
          </w:tcPr>
          <w:p w14:paraId="6F7EE426" w14:textId="77777777" w:rsidR="00DB6168" w:rsidRDefault="00DB6168">
            <w:r>
              <w:t>Preventive</w:t>
            </w:r>
          </w:p>
        </w:tc>
        <w:tc>
          <w:tcPr>
            <w:tcW w:w="0" w:type="auto"/>
            <w:vAlign w:val="center"/>
            <w:hideMark/>
          </w:tcPr>
          <w:p w14:paraId="7203706D" w14:textId="77777777" w:rsidR="00DB6168" w:rsidRDefault="00DB6168">
            <w:r>
              <w:t>Monthly</w:t>
            </w:r>
          </w:p>
        </w:tc>
        <w:tc>
          <w:tcPr>
            <w:tcW w:w="0" w:type="auto"/>
            <w:vAlign w:val="center"/>
            <w:hideMark/>
          </w:tcPr>
          <w:p w14:paraId="08FCF1B9" w14:textId="77777777" w:rsidR="00DB6168" w:rsidRDefault="00DB6168">
            <w:r>
              <w:t>Treasury Team</w:t>
            </w:r>
          </w:p>
        </w:tc>
        <w:tc>
          <w:tcPr>
            <w:tcW w:w="0" w:type="auto"/>
            <w:vAlign w:val="center"/>
            <w:hideMark/>
          </w:tcPr>
          <w:p w14:paraId="6AD1FDE0" w14:textId="77777777" w:rsidR="00DB6168" w:rsidRDefault="00DB6168">
            <w:r>
              <w:t>Internal Audit</w:t>
            </w:r>
          </w:p>
        </w:tc>
        <w:tc>
          <w:tcPr>
            <w:tcW w:w="0" w:type="auto"/>
            <w:vAlign w:val="center"/>
            <w:hideMark/>
          </w:tcPr>
          <w:p w14:paraId="15057902" w14:textId="77777777" w:rsidR="00DB6168" w:rsidRDefault="00DB6168">
            <w:r>
              <w:t>LCR model export, approval note</w:t>
            </w:r>
          </w:p>
        </w:tc>
      </w:tr>
      <w:tr w:rsidR="00DB6168" w14:paraId="1CED64C2" w14:textId="77777777" w:rsidTr="00DB6168">
        <w:trPr>
          <w:tblCellSpacing w:w="15" w:type="dxa"/>
        </w:trPr>
        <w:tc>
          <w:tcPr>
            <w:tcW w:w="0" w:type="auto"/>
            <w:vAlign w:val="center"/>
            <w:hideMark/>
          </w:tcPr>
          <w:p w14:paraId="2F4C1F1E" w14:textId="77777777" w:rsidR="00DB6168" w:rsidRDefault="00DB6168">
            <w:r>
              <w:t>OPS-007-KYC</w:t>
            </w:r>
          </w:p>
        </w:tc>
        <w:tc>
          <w:tcPr>
            <w:tcW w:w="0" w:type="auto"/>
            <w:vAlign w:val="center"/>
            <w:hideMark/>
          </w:tcPr>
          <w:p w14:paraId="16528004" w14:textId="77777777" w:rsidR="00DB6168" w:rsidRDefault="00DB6168">
            <w:r>
              <w:t>KYC Document Verification</w:t>
            </w:r>
          </w:p>
        </w:tc>
        <w:tc>
          <w:tcPr>
            <w:tcW w:w="0" w:type="auto"/>
            <w:vAlign w:val="center"/>
            <w:hideMark/>
          </w:tcPr>
          <w:p w14:paraId="7605E32E" w14:textId="77777777" w:rsidR="00DB6168" w:rsidRDefault="00DB6168">
            <w:r>
              <w:t>Preventive</w:t>
            </w:r>
          </w:p>
        </w:tc>
        <w:tc>
          <w:tcPr>
            <w:tcW w:w="0" w:type="auto"/>
            <w:vAlign w:val="center"/>
            <w:hideMark/>
          </w:tcPr>
          <w:p w14:paraId="5AE951B9" w14:textId="77777777" w:rsidR="00DB6168" w:rsidRDefault="00DB6168">
            <w:r>
              <w:t>Onboarding</w:t>
            </w:r>
          </w:p>
        </w:tc>
        <w:tc>
          <w:tcPr>
            <w:tcW w:w="0" w:type="auto"/>
            <w:vAlign w:val="center"/>
            <w:hideMark/>
          </w:tcPr>
          <w:p w14:paraId="43F10358" w14:textId="77777777" w:rsidR="00DB6168" w:rsidRDefault="00DB6168">
            <w:r>
              <w:t>Ops Manager</w:t>
            </w:r>
          </w:p>
        </w:tc>
        <w:tc>
          <w:tcPr>
            <w:tcW w:w="0" w:type="auto"/>
            <w:vAlign w:val="center"/>
            <w:hideMark/>
          </w:tcPr>
          <w:p w14:paraId="101A1858" w14:textId="77777777" w:rsidR="00DB6168" w:rsidRDefault="00DB6168">
            <w:r>
              <w:t>Compliance Lead</w:t>
            </w:r>
          </w:p>
        </w:tc>
        <w:tc>
          <w:tcPr>
            <w:tcW w:w="0" w:type="auto"/>
            <w:vAlign w:val="center"/>
            <w:hideMark/>
          </w:tcPr>
          <w:p w14:paraId="5424A57C" w14:textId="77777777" w:rsidR="00DB6168" w:rsidRDefault="00DB6168">
            <w:r>
              <w:t>OCR report, ID scans</w:t>
            </w:r>
          </w:p>
        </w:tc>
      </w:tr>
    </w:tbl>
    <w:p w14:paraId="5A3F30BB" w14:textId="77777777" w:rsidR="00DB6168" w:rsidRDefault="00DB6168" w:rsidP="00DB6168">
      <w:pPr>
        <w:pStyle w:val="NormalWeb"/>
      </w:pPr>
      <w:r>
        <w:t>The full register includes over 200 controls, each with fields for risk rating, control category, regulatory mapping, and audit cycle.</w:t>
      </w:r>
    </w:p>
    <w:p w14:paraId="453D4FFF" w14:textId="77777777" w:rsidR="00DB6168" w:rsidRDefault="00DB6168" w:rsidP="00DB6168">
      <w:r>
        <w:pict w14:anchorId="570644E6">
          <v:rect id="_x0000_i1099" style="width:0;height:1.5pt" o:hralign="center" o:hrstd="t" o:hr="t" fillcolor="#a0a0a0" stroked="f"/>
        </w:pict>
      </w:r>
    </w:p>
    <w:p w14:paraId="5C32D036" w14:textId="77777777" w:rsidR="00DB6168" w:rsidRDefault="00DB6168" w:rsidP="00DB6168">
      <w:pPr>
        <w:pStyle w:val="Heading3"/>
      </w:pPr>
      <w:r>
        <w:t>9.3 Annexure C – Sample Forms &amp; Templates</w:t>
      </w:r>
    </w:p>
    <w:p w14:paraId="246A9B02" w14:textId="77777777" w:rsidR="00DB6168" w:rsidRDefault="00DB6168" w:rsidP="00DB6168">
      <w:pPr>
        <w:pStyle w:val="NormalWeb"/>
      </w:pPr>
      <w:r>
        <w:t>These standardized forms are available via the internal GRC portal and must be used for all related activities:</w:t>
      </w:r>
    </w:p>
    <w:p w14:paraId="28C96B14" w14:textId="77777777" w:rsidR="00DB6168" w:rsidRDefault="00DB6168" w:rsidP="00DB6168">
      <w:pPr>
        <w:pStyle w:val="Heading4"/>
      </w:pPr>
      <w:r>
        <w:t>C.1 Control Execution Checklist (Excerpt)</w:t>
      </w:r>
    </w:p>
    <w:p w14:paraId="521D9F74" w14:textId="77777777" w:rsidR="00DB6168" w:rsidRDefault="00DB6168" w:rsidP="00DB6168">
      <w:pPr>
        <w:pStyle w:val="HTMLPreformatted"/>
      </w:pPr>
      <w:r>
        <w:t>markdown</w:t>
      </w:r>
    </w:p>
    <w:p w14:paraId="557B0007" w14:textId="77777777" w:rsidR="00DB6168" w:rsidRDefault="00DB6168" w:rsidP="00DB6168">
      <w:pPr>
        <w:pStyle w:val="HTMLPreformatted"/>
      </w:pPr>
      <w:proofErr w:type="spellStart"/>
      <w:r>
        <w:t>CopyEdit</w:t>
      </w:r>
      <w:proofErr w:type="spellEnd"/>
    </w:p>
    <w:p w14:paraId="6ABCF30B" w14:textId="77777777" w:rsidR="00DB6168" w:rsidRDefault="00DB6168" w:rsidP="00DB6168">
      <w:pPr>
        <w:pStyle w:val="HTMLPreformatted"/>
        <w:rPr>
          <w:rStyle w:val="HTMLCode"/>
        </w:rPr>
      </w:pPr>
      <w:r>
        <w:rPr>
          <w:rStyle w:val="HTMLCode"/>
        </w:rPr>
        <w:t>Control ID: FIN-001-JE</w:t>
      </w:r>
    </w:p>
    <w:p w14:paraId="6DC4D96A" w14:textId="77777777" w:rsidR="00DB6168" w:rsidRDefault="00DB6168" w:rsidP="00DB6168">
      <w:pPr>
        <w:pStyle w:val="HTMLPreformatted"/>
        <w:rPr>
          <w:rStyle w:val="HTMLCode"/>
        </w:rPr>
      </w:pPr>
      <w:r>
        <w:rPr>
          <w:rStyle w:val="HTMLCode"/>
        </w:rPr>
        <w:t>Control Name: Journal Entry Approval</w:t>
      </w:r>
    </w:p>
    <w:p w14:paraId="33D5B158" w14:textId="77777777" w:rsidR="00DB6168" w:rsidRDefault="00DB6168" w:rsidP="00DB6168">
      <w:pPr>
        <w:pStyle w:val="HTMLPreformatted"/>
        <w:rPr>
          <w:rStyle w:val="HTMLCode"/>
        </w:rPr>
      </w:pPr>
      <w:r>
        <w:rPr>
          <w:rStyle w:val="HTMLCode"/>
        </w:rPr>
        <w:t xml:space="preserve">Prepared By: </w:t>
      </w:r>
      <w:r>
        <w:rPr>
          <w:rStyle w:val="hljs-strong"/>
        </w:rPr>
        <w:t>______________</w:t>
      </w:r>
      <w:proofErr w:type="gramStart"/>
      <w:r>
        <w:rPr>
          <w:rStyle w:val="hljs-strong"/>
        </w:rPr>
        <w:t>_  |</w:t>
      </w:r>
      <w:proofErr w:type="gramEnd"/>
      <w:r>
        <w:rPr>
          <w:rStyle w:val="hljs-strong"/>
        </w:rPr>
        <w:t xml:space="preserve">  Approved By: ______________</w:t>
      </w:r>
      <w:r>
        <w:rPr>
          <w:rStyle w:val="HTMLCode"/>
        </w:rPr>
        <w:t>_</w:t>
      </w:r>
    </w:p>
    <w:p w14:paraId="28013DEF" w14:textId="77777777" w:rsidR="00DB6168" w:rsidRDefault="00DB6168" w:rsidP="00DB6168">
      <w:pPr>
        <w:pStyle w:val="HTMLPreformatted"/>
        <w:rPr>
          <w:rStyle w:val="hljs-strong"/>
        </w:rPr>
      </w:pPr>
      <w:r>
        <w:rPr>
          <w:rStyle w:val="HTMLCode"/>
        </w:rPr>
        <w:t xml:space="preserve">Date: </w:t>
      </w:r>
      <w:r>
        <w:rPr>
          <w:rStyle w:val="hljs-strong"/>
        </w:rPr>
        <w:t>___________</w:t>
      </w:r>
    </w:p>
    <w:p w14:paraId="52B1BFCE" w14:textId="77777777" w:rsidR="00DB6168" w:rsidRDefault="00DB6168" w:rsidP="00DB6168">
      <w:pPr>
        <w:pStyle w:val="HTMLPreformatted"/>
        <w:rPr>
          <w:rStyle w:val="hljs-strong"/>
        </w:rPr>
      </w:pPr>
    </w:p>
    <w:p w14:paraId="081834B4" w14:textId="77777777" w:rsidR="00DB6168" w:rsidRDefault="00DB6168" w:rsidP="00DB6168">
      <w:pPr>
        <w:pStyle w:val="HTMLPreformatted"/>
        <w:rPr>
          <w:rStyle w:val="hljs-strong"/>
        </w:rPr>
      </w:pPr>
      <w:r>
        <w:rPr>
          <w:rStyle w:val="hljs-strong"/>
          <w:rFonts w:ascii="Segoe UI Symbol" w:hAnsi="Segoe UI Symbol" w:cs="Segoe UI Symbol"/>
        </w:rPr>
        <w:t>☐</w:t>
      </w:r>
      <w:r>
        <w:rPr>
          <w:rStyle w:val="hljs-strong"/>
        </w:rPr>
        <w:t xml:space="preserve"> Journal Entry complies with </w:t>
      </w:r>
      <w:proofErr w:type="spellStart"/>
      <w:r>
        <w:rPr>
          <w:rStyle w:val="hljs-strong"/>
        </w:rPr>
        <w:t>SoD</w:t>
      </w:r>
      <w:proofErr w:type="spellEnd"/>
      <w:r>
        <w:rPr>
          <w:rStyle w:val="hljs-strong"/>
        </w:rPr>
        <w:t xml:space="preserve">  </w:t>
      </w:r>
    </w:p>
    <w:p w14:paraId="23AAA254" w14:textId="77777777" w:rsidR="00DB6168" w:rsidRDefault="00DB6168" w:rsidP="00DB6168">
      <w:pPr>
        <w:pStyle w:val="HTMLPreformatted"/>
        <w:rPr>
          <w:rStyle w:val="hljs-strong"/>
        </w:rPr>
      </w:pPr>
      <w:r>
        <w:rPr>
          <w:rStyle w:val="hljs-strong"/>
          <w:rFonts w:ascii="Segoe UI Symbol" w:hAnsi="Segoe UI Symbol" w:cs="Segoe UI Symbol"/>
        </w:rPr>
        <w:t>☐</w:t>
      </w:r>
      <w:r>
        <w:rPr>
          <w:rStyle w:val="hljs-strong"/>
        </w:rPr>
        <w:t xml:space="preserve"> Supporting documents are attached (invoice, memo, calculation sheet)  </w:t>
      </w:r>
    </w:p>
    <w:p w14:paraId="6422282F" w14:textId="77777777" w:rsidR="00DB6168" w:rsidRDefault="00DB6168" w:rsidP="00DB6168">
      <w:pPr>
        <w:pStyle w:val="HTMLPreformatted"/>
        <w:rPr>
          <w:rStyle w:val="hljs-strong"/>
        </w:rPr>
      </w:pPr>
      <w:r>
        <w:rPr>
          <w:rStyle w:val="hljs-strong"/>
          <w:rFonts w:ascii="Segoe UI Symbol" w:hAnsi="Segoe UI Symbol" w:cs="Segoe UI Symbol"/>
        </w:rPr>
        <w:t>☐</w:t>
      </w:r>
      <w:r>
        <w:rPr>
          <w:rStyle w:val="hljs-strong"/>
        </w:rPr>
        <w:t xml:space="preserve"> JE amount exceeds ₹5L – CFO approval attached  </w:t>
      </w:r>
    </w:p>
    <w:p w14:paraId="0D6C91B5" w14:textId="77777777" w:rsidR="00DB6168" w:rsidRDefault="00DB6168" w:rsidP="00DB6168">
      <w:pPr>
        <w:pStyle w:val="HTMLPreformatted"/>
        <w:rPr>
          <w:rStyle w:val="hljs-strong"/>
        </w:rPr>
      </w:pPr>
      <w:r>
        <w:rPr>
          <w:rStyle w:val="hljs-strong"/>
          <w:rFonts w:ascii="Segoe UI Symbol" w:hAnsi="Segoe UI Symbol" w:cs="Segoe UI Symbol"/>
        </w:rPr>
        <w:t>☐</w:t>
      </w:r>
      <w:r>
        <w:rPr>
          <w:rStyle w:val="hljs-strong"/>
        </w:rPr>
        <w:t xml:space="preserve"> Entry posted in SAP FICO module  </w:t>
      </w:r>
    </w:p>
    <w:p w14:paraId="191E7F2F" w14:textId="77777777" w:rsidR="00DB6168" w:rsidRDefault="00DB6168" w:rsidP="00DB6168">
      <w:pPr>
        <w:pStyle w:val="HTMLPreformatted"/>
        <w:rPr>
          <w:rStyle w:val="hljs-strong"/>
        </w:rPr>
      </w:pPr>
      <w:r>
        <w:rPr>
          <w:rStyle w:val="hljs-strong"/>
          <w:rFonts w:ascii="Segoe UI Symbol" w:hAnsi="Segoe UI Symbol" w:cs="Segoe UI Symbol"/>
        </w:rPr>
        <w:lastRenderedPageBreak/>
        <w:t>☐</w:t>
      </w:r>
      <w:r>
        <w:rPr>
          <w:rStyle w:val="hljs-strong"/>
        </w:rPr>
        <w:t xml:space="preserve"> Entry reconciled during month-end close  </w:t>
      </w:r>
    </w:p>
    <w:p w14:paraId="4201EAEB" w14:textId="77777777" w:rsidR="00DB6168" w:rsidRDefault="00DB6168" w:rsidP="00DB6168">
      <w:pPr>
        <w:pStyle w:val="HTMLPreformatted"/>
        <w:rPr>
          <w:rStyle w:val="hljs-strong"/>
        </w:rPr>
      </w:pPr>
    </w:p>
    <w:p w14:paraId="5E9DFFBA" w14:textId="77777777" w:rsidR="00DB6168" w:rsidRDefault="00DB6168" w:rsidP="00DB6168">
      <w:pPr>
        <w:pStyle w:val="HTMLPreformatted"/>
        <w:rPr>
          <w:rStyle w:val="HTMLCode"/>
        </w:rPr>
      </w:pPr>
      <w:r>
        <w:rPr>
          <w:rStyle w:val="hljs-strong"/>
        </w:rPr>
        <w:t>Remarks: ______________________________________</w:t>
      </w:r>
      <w:r>
        <w:rPr>
          <w:rStyle w:val="HTMLCode"/>
        </w:rPr>
        <w:t>_</w:t>
      </w:r>
    </w:p>
    <w:p w14:paraId="6E6871E9" w14:textId="77777777" w:rsidR="00DB6168" w:rsidRDefault="00DB6168" w:rsidP="00DB6168">
      <w:pPr>
        <w:pStyle w:val="Heading4"/>
      </w:pPr>
      <w:r>
        <w:t>C.2 Control Change Request Form (CCR)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4675"/>
      </w:tblGrid>
      <w:tr w:rsidR="00DB6168" w14:paraId="4F84DBB7" w14:textId="77777777" w:rsidTr="00DB6168">
        <w:trPr>
          <w:tblHeader/>
          <w:tblCellSpacing w:w="15" w:type="dxa"/>
        </w:trPr>
        <w:tc>
          <w:tcPr>
            <w:tcW w:w="0" w:type="auto"/>
            <w:vAlign w:val="center"/>
            <w:hideMark/>
          </w:tcPr>
          <w:p w14:paraId="37E6F4B3" w14:textId="77777777" w:rsidR="00DB6168" w:rsidRDefault="00DB6168">
            <w:pPr>
              <w:jc w:val="center"/>
              <w:rPr>
                <w:b/>
                <w:bCs/>
              </w:rPr>
            </w:pPr>
            <w:r>
              <w:rPr>
                <w:b/>
                <w:bCs/>
              </w:rPr>
              <w:t>Field</w:t>
            </w:r>
          </w:p>
        </w:tc>
        <w:tc>
          <w:tcPr>
            <w:tcW w:w="0" w:type="auto"/>
            <w:vAlign w:val="center"/>
            <w:hideMark/>
          </w:tcPr>
          <w:p w14:paraId="32465703" w14:textId="77777777" w:rsidR="00DB6168" w:rsidRDefault="00DB6168">
            <w:pPr>
              <w:jc w:val="center"/>
              <w:rPr>
                <w:b/>
                <w:bCs/>
              </w:rPr>
            </w:pPr>
            <w:r>
              <w:rPr>
                <w:b/>
                <w:bCs/>
              </w:rPr>
              <w:t>Input</w:t>
            </w:r>
          </w:p>
        </w:tc>
      </w:tr>
      <w:tr w:rsidR="00DB6168" w14:paraId="708AA232" w14:textId="77777777" w:rsidTr="00DB6168">
        <w:trPr>
          <w:tblCellSpacing w:w="15" w:type="dxa"/>
        </w:trPr>
        <w:tc>
          <w:tcPr>
            <w:tcW w:w="0" w:type="auto"/>
            <w:vAlign w:val="center"/>
            <w:hideMark/>
          </w:tcPr>
          <w:p w14:paraId="36EDDC37" w14:textId="77777777" w:rsidR="00DB6168" w:rsidRDefault="00DB6168">
            <w:r>
              <w:t>Control ID</w:t>
            </w:r>
          </w:p>
        </w:tc>
        <w:tc>
          <w:tcPr>
            <w:tcW w:w="0" w:type="auto"/>
            <w:vAlign w:val="center"/>
            <w:hideMark/>
          </w:tcPr>
          <w:p w14:paraId="5E25F090" w14:textId="77777777" w:rsidR="00DB6168" w:rsidRDefault="00DB6168">
            <w:r>
              <w:t>OPS-012-RPT</w:t>
            </w:r>
          </w:p>
        </w:tc>
      </w:tr>
      <w:tr w:rsidR="00DB6168" w14:paraId="34AEB550" w14:textId="77777777" w:rsidTr="00DB6168">
        <w:trPr>
          <w:tblCellSpacing w:w="15" w:type="dxa"/>
        </w:trPr>
        <w:tc>
          <w:tcPr>
            <w:tcW w:w="0" w:type="auto"/>
            <w:vAlign w:val="center"/>
            <w:hideMark/>
          </w:tcPr>
          <w:p w14:paraId="117D48DC" w14:textId="77777777" w:rsidR="00DB6168" w:rsidRDefault="00DB6168">
            <w:r>
              <w:t>Change Type</w:t>
            </w:r>
          </w:p>
        </w:tc>
        <w:tc>
          <w:tcPr>
            <w:tcW w:w="0" w:type="auto"/>
            <w:vAlign w:val="center"/>
            <w:hideMark/>
          </w:tcPr>
          <w:p w14:paraId="0E60DA98" w14:textId="77777777" w:rsidR="00DB6168" w:rsidRDefault="00DB6168">
            <w:r>
              <w:t>Update frequency from monthly to weekly</w:t>
            </w:r>
          </w:p>
        </w:tc>
      </w:tr>
      <w:tr w:rsidR="00DB6168" w14:paraId="7E7FB264" w14:textId="77777777" w:rsidTr="00DB6168">
        <w:trPr>
          <w:tblCellSpacing w:w="15" w:type="dxa"/>
        </w:trPr>
        <w:tc>
          <w:tcPr>
            <w:tcW w:w="0" w:type="auto"/>
            <w:vAlign w:val="center"/>
            <w:hideMark/>
          </w:tcPr>
          <w:p w14:paraId="2D6E8B77" w14:textId="77777777" w:rsidR="00DB6168" w:rsidRDefault="00DB6168">
            <w:r>
              <w:t>Reason</w:t>
            </w:r>
          </w:p>
        </w:tc>
        <w:tc>
          <w:tcPr>
            <w:tcW w:w="0" w:type="auto"/>
            <w:vAlign w:val="center"/>
            <w:hideMark/>
          </w:tcPr>
          <w:p w14:paraId="04E92010" w14:textId="77777777" w:rsidR="00DB6168" w:rsidRDefault="00DB6168">
            <w:r>
              <w:t>Increased reporting volume post regulatory circular</w:t>
            </w:r>
          </w:p>
        </w:tc>
      </w:tr>
      <w:tr w:rsidR="00DB6168" w14:paraId="18049723" w14:textId="77777777" w:rsidTr="00DB6168">
        <w:trPr>
          <w:tblCellSpacing w:w="15" w:type="dxa"/>
        </w:trPr>
        <w:tc>
          <w:tcPr>
            <w:tcW w:w="0" w:type="auto"/>
            <w:vAlign w:val="center"/>
            <w:hideMark/>
          </w:tcPr>
          <w:p w14:paraId="03EBA975" w14:textId="77777777" w:rsidR="00DB6168" w:rsidRDefault="00DB6168">
            <w:r>
              <w:t>Risk Impact</w:t>
            </w:r>
          </w:p>
        </w:tc>
        <w:tc>
          <w:tcPr>
            <w:tcW w:w="0" w:type="auto"/>
            <w:vAlign w:val="center"/>
            <w:hideMark/>
          </w:tcPr>
          <w:p w14:paraId="02D09C30" w14:textId="77777777" w:rsidR="00DB6168" w:rsidRDefault="00DB6168">
            <w:r>
              <w:t>Medium</w:t>
            </w:r>
          </w:p>
        </w:tc>
      </w:tr>
      <w:tr w:rsidR="00DB6168" w14:paraId="5D89594C" w14:textId="77777777" w:rsidTr="00DB6168">
        <w:trPr>
          <w:tblCellSpacing w:w="15" w:type="dxa"/>
        </w:trPr>
        <w:tc>
          <w:tcPr>
            <w:tcW w:w="0" w:type="auto"/>
            <w:vAlign w:val="center"/>
            <w:hideMark/>
          </w:tcPr>
          <w:p w14:paraId="0326C7F4" w14:textId="77777777" w:rsidR="00DB6168" w:rsidRDefault="00DB6168">
            <w:r>
              <w:t>Initiated By</w:t>
            </w:r>
          </w:p>
        </w:tc>
        <w:tc>
          <w:tcPr>
            <w:tcW w:w="0" w:type="auto"/>
            <w:vAlign w:val="center"/>
            <w:hideMark/>
          </w:tcPr>
          <w:p w14:paraId="01D18288" w14:textId="77777777" w:rsidR="00DB6168" w:rsidRDefault="00DB6168">
            <w:r>
              <w:t>Compliance Officer</w:t>
            </w:r>
          </w:p>
        </w:tc>
      </w:tr>
      <w:tr w:rsidR="00DB6168" w14:paraId="0DBDEE1E" w14:textId="77777777" w:rsidTr="00DB6168">
        <w:trPr>
          <w:tblCellSpacing w:w="15" w:type="dxa"/>
        </w:trPr>
        <w:tc>
          <w:tcPr>
            <w:tcW w:w="0" w:type="auto"/>
            <w:vAlign w:val="center"/>
            <w:hideMark/>
          </w:tcPr>
          <w:p w14:paraId="7933AACB" w14:textId="77777777" w:rsidR="00DB6168" w:rsidRDefault="00DB6168">
            <w:r>
              <w:t>Approval Required From</w:t>
            </w:r>
          </w:p>
        </w:tc>
        <w:tc>
          <w:tcPr>
            <w:tcW w:w="0" w:type="auto"/>
            <w:vAlign w:val="center"/>
            <w:hideMark/>
          </w:tcPr>
          <w:p w14:paraId="4E2C1F69" w14:textId="77777777" w:rsidR="00DB6168" w:rsidRDefault="00DB6168">
            <w:r>
              <w:t>CRO, Audit, Compliance</w:t>
            </w:r>
          </w:p>
        </w:tc>
      </w:tr>
      <w:tr w:rsidR="00DB6168" w14:paraId="362BB1B4" w14:textId="77777777" w:rsidTr="00DB6168">
        <w:trPr>
          <w:tblCellSpacing w:w="15" w:type="dxa"/>
        </w:trPr>
        <w:tc>
          <w:tcPr>
            <w:tcW w:w="0" w:type="auto"/>
            <w:vAlign w:val="center"/>
            <w:hideMark/>
          </w:tcPr>
          <w:p w14:paraId="4A64A8C0" w14:textId="77777777" w:rsidR="00DB6168" w:rsidRDefault="00DB6168">
            <w:r>
              <w:t>Go-Live Date</w:t>
            </w:r>
          </w:p>
        </w:tc>
        <w:tc>
          <w:tcPr>
            <w:tcW w:w="0" w:type="auto"/>
            <w:vAlign w:val="center"/>
            <w:hideMark/>
          </w:tcPr>
          <w:p w14:paraId="12AA9BE7" w14:textId="77777777" w:rsidR="00DB6168" w:rsidRDefault="00DB6168">
            <w:r>
              <w:t>August 1, 2025</w:t>
            </w:r>
          </w:p>
        </w:tc>
      </w:tr>
    </w:tbl>
    <w:p w14:paraId="454D167D" w14:textId="77777777" w:rsidR="00DB6168" w:rsidRDefault="00DB6168" w:rsidP="00DB6168">
      <w:pPr>
        <w:pStyle w:val="Heading4"/>
      </w:pPr>
      <w:r>
        <w:t>C.3 Incident &amp; RCA Report (Excerpt)</w:t>
      </w:r>
    </w:p>
    <w:p w14:paraId="396499EB" w14:textId="77777777" w:rsidR="00DB6168" w:rsidRDefault="00DB6168" w:rsidP="00DB6168">
      <w:pPr>
        <w:pStyle w:val="HTMLPreformatted"/>
      </w:pPr>
      <w:proofErr w:type="spellStart"/>
      <w:r>
        <w:t>yaml</w:t>
      </w:r>
      <w:proofErr w:type="spellEnd"/>
    </w:p>
    <w:p w14:paraId="6371A469" w14:textId="77777777" w:rsidR="00DB6168" w:rsidRDefault="00DB6168" w:rsidP="00DB6168">
      <w:pPr>
        <w:pStyle w:val="HTMLPreformatted"/>
      </w:pPr>
      <w:proofErr w:type="spellStart"/>
      <w:r>
        <w:t>CopyEdit</w:t>
      </w:r>
      <w:proofErr w:type="spellEnd"/>
    </w:p>
    <w:p w14:paraId="19BD3A65" w14:textId="77777777" w:rsidR="00DB6168" w:rsidRDefault="00DB6168" w:rsidP="00DB6168">
      <w:pPr>
        <w:pStyle w:val="HTMLPreformatted"/>
        <w:rPr>
          <w:rStyle w:val="HTMLCode"/>
        </w:rPr>
      </w:pPr>
      <w:r>
        <w:rPr>
          <w:rStyle w:val="hljs-attr"/>
        </w:rPr>
        <w:t>Incident:</w:t>
      </w:r>
      <w:r>
        <w:rPr>
          <w:rStyle w:val="HTMLCode"/>
        </w:rPr>
        <w:t xml:space="preserve"> </w:t>
      </w:r>
      <w:r>
        <w:rPr>
          <w:rStyle w:val="hljs-string"/>
        </w:rPr>
        <w:t>Missed</w:t>
      </w:r>
      <w:r>
        <w:rPr>
          <w:rStyle w:val="HTMLCode"/>
        </w:rPr>
        <w:t xml:space="preserve"> </w:t>
      </w:r>
      <w:r>
        <w:rPr>
          <w:rStyle w:val="hljs-string"/>
        </w:rPr>
        <w:t>FATCA</w:t>
      </w:r>
      <w:r>
        <w:rPr>
          <w:rStyle w:val="HTMLCode"/>
        </w:rPr>
        <w:t xml:space="preserve"> </w:t>
      </w:r>
      <w:r>
        <w:rPr>
          <w:rStyle w:val="hljs-string"/>
        </w:rPr>
        <w:t>reporting</w:t>
      </w:r>
      <w:r>
        <w:rPr>
          <w:rStyle w:val="HTMLCode"/>
        </w:rPr>
        <w:t xml:space="preserve"> </w:t>
      </w:r>
      <w:r>
        <w:rPr>
          <w:rStyle w:val="hljs-string"/>
        </w:rPr>
        <w:t>deadline</w:t>
      </w:r>
      <w:r>
        <w:rPr>
          <w:rStyle w:val="HTMLCode"/>
        </w:rPr>
        <w:t xml:space="preserve"> </w:t>
      </w:r>
      <w:r>
        <w:rPr>
          <w:rStyle w:val="hljs-string"/>
        </w:rPr>
        <w:t>for</w:t>
      </w:r>
      <w:r>
        <w:rPr>
          <w:rStyle w:val="HTMLCode"/>
        </w:rPr>
        <w:t xml:space="preserve"> </w:t>
      </w:r>
      <w:r>
        <w:rPr>
          <w:rStyle w:val="hljs-string"/>
        </w:rPr>
        <w:t>Q1</w:t>
      </w:r>
    </w:p>
    <w:p w14:paraId="0B75FDE6" w14:textId="77777777" w:rsidR="00DB6168" w:rsidRDefault="00DB6168" w:rsidP="00DB6168">
      <w:pPr>
        <w:pStyle w:val="HTMLPreformatted"/>
        <w:rPr>
          <w:rStyle w:val="HTMLCode"/>
        </w:rPr>
      </w:pPr>
      <w:r>
        <w:rPr>
          <w:rStyle w:val="hljs-attr"/>
        </w:rPr>
        <w:t>Impact:</w:t>
      </w:r>
      <w:r>
        <w:rPr>
          <w:rStyle w:val="HTMLCode"/>
        </w:rPr>
        <w:t xml:space="preserve"> </w:t>
      </w:r>
      <w:r>
        <w:rPr>
          <w:rStyle w:val="hljs-string"/>
        </w:rPr>
        <w:t>Regulatory</w:t>
      </w:r>
      <w:r>
        <w:rPr>
          <w:rStyle w:val="HTMLCode"/>
        </w:rPr>
        <w:t xml:space="preserve"> </w:t>
      </w:r>
      <w:r>
        <w:rPr>
          <w:rStyle w:val="hljs-string"/>
        </w:rPr>
        <w:t>non-compliance;</w:t>
      </w:r>
      <w:r>
        <w:rPr>
          <w:rStyle w:val="HTMLCode"/>
        </w:rPr>
        <w:t xml:space="preserve"> </w:t>
      </w:r>
      <w:r>
        <w:rPr>
          <w:rStyle w:val="hljs-string"/>
        </w:rPr>
        <w:t>potential</w:t>
      </w:r>
      <w:r>
        <w:rPr>
          <w:rStyle w:val="HTMLCode"/>
        </w:rPr>
        <w:t xml:space="preserve"> </w:t>
      </w:r>
      <w:r>
        <w:rPr>
          <w:rStyle w:val="hljs-string"/>
        </w:rPr>
        <w:t>fine</w:t>
      </w:r>
      <w:r>
        <w:rPr>
          <w:rStyle w:val="HTMLCode"/>
        </w:rPr>
        <w:t xml:space="preserve"> </w:t>
      </w:r>
      <w:r>
        <w:rPr>
          <w:rStyle w:val="hljs-string"/>
        </w:rPr>
        <w:t>of</w:t>
      </w:r>
      <w:r>
        <w:rPr>
          <w:rStyle w:val="HTMLCode"/>
        </w:rPr>
        <w:t xml:space="preserve"> </w:t>
      </w:r>
      <w:r>
        <w:rPr>
          <w:rStyle w:val="hljs-string"/>
        </w:rPr>
        <w:t>₹5L</w:t>
      </w:r>
    </w:p>
    <w:p w14:paraId="489A25CA" w14:textId="77777777" w:rsidR="00DB6168" w:rsidRDefault="00DB6168" w:rsidP="00DB6168">
      <w:pPr>
        <w:pStyle w:val="HTMLPreformatted"/>
        <w:rPr>
          <w:rStyle w:val="HTMLCode"/>
        </w:rPr>
      </w:pPr>
      <w:r>
        <w:rPr>
          <w:rStyle w:val="hljs-attr"/>
        </w:rPr>
        <w:t>Root Cause:</w:t>
      </w:r>
      <w:r>
        <w:rPr>
          <w:rStyle w:val="HTMLCode"/>
        </w:rPr>
        <w:t xml:space="preserve"> </w:t>
      </w:r>
      <w:r>
        <w:rPr>
          <w:rStyle w:val="hljs-string"/>
        </w:rPr>
        <w:t>Delay</w:t>
      </w:r>
      <w:r>
        <w:rPr>
          <w:rStyle w:val="HTMLCode"/>
        </w:rPr>
        <w:t xml:space="preserve"> </w:t>
      </w:r>
      <w:r>
        <w:rPr>
          <w:rStyle w:val="hljs-string"/>
        </w:rPr>
        <w:t>in</w:t>
      </w:r>
      <w:r>
        <w:rPr>
          <w:rStyle w:val="HTMLCode"/>
        </w:rPr>
        <w:t xml:space="preserve"> </w:t>
      </w:r>
      <w:r>
        <w:rPr>
          <w:rStyle w:val="hljs-string"/>
        </w:rPr>
        <w:t>customer</w:t>
      </w:r>
      <w:r>
        <w:rPr>
          <w:rStyle w:val="HTMLCode"/>
        </w:rPr>
        <w:t xml:space="preserve"> </w:t>
      </w:r>
      <w:r>
        <w:rPr>
          <w:rStyle w:val="hljs-string"/>
        </w:rPr>
        <w:t>residency</w:t>
      </w:r>
      <w:r>
        <w:rPr>
          <w:rStyle w:val="HTMLCode"/>
        </w:rPr>
        <w:t xml:space="preserve"> </w:t>
      </w:r>
      <w:r>
        <w:rPr>
          <w:rStyle w:val="hljs-string"/>
        </w:rPr>
        <w:t>classification</w:t>
      </w:r>
      <w:r>
        <w:rPr>
          <w:rStyle w:val="HTMLCode"/>
        </w:rPr>
        <w:t xml:space="preserve"> </w:t>
      </w:r>
      <w:r>
        <w:rPr>
          <w:rStyle w:val="hljs-string"/>
        </w:rPr>
        <w:t>in</w:t>
      </w:r>
      <w:r>
        <w:rPr>
          <w:rStyle w:val="HTMLCode"/>
        </w:rPr>
        <w:t xml:space="preserve"> </w:t>
      </w:r>
      <w:r>
        <w:rPr>
          <w:rStyle w:val="hljs-string"/>
        </w:rPr>
        <w:t>system</w:t>
      </w:r>
    </w:p>
    <w:p w14:paraId="5CA889ED" w14:textId="77777777" w:rsidR="00DB6168" w:rsidRDefault="00DB6168" w:rsidP="00DB6168">
      <w:pPr>
        <w:pStyle w:val="HTMLPreformatted"/>
        <w:rPr>
          <w:rStyle w:val="HTMLCode"/>
        </w:rPr>
      </w:pPr>
      <w:r>
        <w:rPr>
          <w:rStyle w:val="hljs-attr"/>
        </w:rPr>
        <w:t>Corrective Action:</w:t>
      </w:r>
      <w:r>
        <w:rPr>
          <w:rStyle w:val="HTMLCode"/>
        </w:rPr>
        <w:t xml:space="preserve"> </w:t>
      </w:r>
      <w:r>
        <w:rPr>
          <w:rStyle w:val="hljs-string"/>
        </w:rPr>
        <w:t>Automate</w:t>
      </w:r>
      <w:r>
        <w:rPr>
          <w:rStyle w:val="HTMLCode"/>
        </w:rPr>
        <w:t xml:space="preserve"> </w:t>
      </w:r>
      <w:r>
        <w:rPr>
          <w:rStyle w:val="hljs-string"/>
        </w:rPr>
        <w:t>FATCA</w:t>
      </w:r>
      <w:r>
        <w:rPr>
          <w:rStyle w:val="HTMLCode"/>
        </w:rPr>
        <w:t xml:space="preserve"> </w:t>
      </w:r>
      <w:r>
        <w:rPr>
          <w:rStyle w:val="hljs-string"/>
        </w:rPr>
        <w:t>flag</w:t>
      </w:r>
      <w:r>
        <w:rPr>
          <w:rStyle w:val="HTMLCode"/>
        </w:rPr>
        <w:t xml:space="preserve"> </w:t>
      </w:r>
      <w:r>
        <w:rPr>
          <w:rStyle w:val="hljs-string"/>
        </w:rPr>
        <w:t>mapping;</w:t>
      </w:r>
      <w:r>
        <w:rPr>
          <w:rStyle w:val="HTMLCode"/>
        </w:rPr>
        <w:t xml:space="preserve"> </w:t>
      </w:r>
      <w:r>
        <w:rPr>
          <w:rStyle w:val="hljs-string"/>
        </w:rPr>
        <w:t>add</w:t>
      </w:r>
      <w:r>
        <w:rPr>
          <w:rStyle w:val="HTMLCode"/>
        </w:rPr>
        <w:t xml:space="preserve"> </w:t>
      </w:r>
      <w:r>
        <w:rPr>
          <w:rStyle w:val="hljs-string"/>
        </w:rPr>
        <w:t>2nd-level</w:t>
      </w:r>
      <w:r>
        <w:rPr>
          <w:rStyle w:val="HTMLCode"/>
        </w:rPr>
        <w:t xml:space="preserve"> </w:t>
      </w:r>
      <w:r>
        <w:rPr>
          <w:rStyle w:val="hljs-string"/>
        </w:rPr>
        <w:t>review</w:t>
      </w:r>
      <w:r>
        <w:rPr>
          <w:rStyle w:val="HTMLCode"/>
        </w:rPr>
        <w:t xml:space="preserve"> </w:t>
      </w:r>
      <w:r>
        <w:rPr>
          <w:rStyle w:val="hljs-string"/>
        </w:rPr>
        <w:t>step</w:t>
      </w:r>
    </w:p>
    <w:p w14:paraId="48C0373E" w14:textId="77777777" w:rsidR="00DB6168" w:rsidRDefault="00DB6168" w:rsidP="00DB6168">
      <w:pPr>
        <w:pStyle w:val="HTMLPreformatted"/>
        <w:rPr>
          <w:rStyle w:val="HTMLCode"/>
        </w:rPr>
      </w:pPr>
      <w:r>
        <w:rPr>
          <w:rStyle w:val="hljs-attr"/>
        </w:rPr>
        <w:t>Owner:</w:t>
      </w:r>
      <w:r>
        <w:rPr>
          <w:rStyle w:val="HTMLCode"/>
        </w:rPr>
        <w:t xml:space="preserve"> </w:t>
      </w:r>
      <w:r>
        <w:rPr>
          <w:rStyle w:val="hljs-string"/>
        </w:rPr>
        <w:t>Compliance</w:t>
      </w:r>
      <w:r>
        <w:rPr>
          <w:rStyle w:val="HTMLCode"/>
        </w:rPr>
        <w:t xml:space="preserve"> </w:t>
      </w:r>
      <w:r>
        <w:rPr>
          <w:rStyle w:val="hljs-string"/>
        </w:rPr>
        <w:t>Tech</w:t>
      </w:r>
      <w:r>
        <w:rPr>
          <w:rStyle w:val="HTMLCode"/>
        </w:rPr>
        <w:t xml:space="preserve"> </w:t>
      </w:r>
      <w:r>
        <w:rPr>
          <w:rStyle w:val="hljs-string"/>
        </w:rPr>
        <w:t>Team</w:t>
      </w:r>
    </w:p>
    <w:p w14:paraId="11141FD1" w14:textId="77777777" w:rsidR="00DB6168" w:rsidRDefault="00DB6168" w:rsidP="00DB6168">
      <w:pPr>
        <w:pStyle w:val="HTMLPreformatted"/>
        <w:rPr>
          <w:rStyle w:val="HTMLCode"/>
        </w:rPr>
      </w:pPr>
      <w:r>
        <w:rPr>
          <w:rStyle w:val="hljs-attr"/>
        </w:rPr>
        <w:t>Expected Closure:</w:t>
      </w:r>
      <w:r>
        <w:rPr>
          <w:rStyle w:val="HTMLCode"/>
        </w:rPr>
        <w:t xml:space="preserve"> </w:t>
      </w:r>
      <w:r>
        <w:rPr>
          <w:rStyle w:val="hljs-string"/>
        </w:rPr>
        <w:t>August</w:t>
      </w:r>
      <w:r>
        <w:rPr>
          <w:rStyle w:val="HTMLCode"/>
        </w:rPr>
        <w:t xml:space="preserve"> </w:t>
      </w:r>
      <w:r>
        <w:rPr>
          <w:rStyle w:val="hljs-number"/>
        </w:rPr>
        <w:t>15</w:t>
      </w:r>
      <w:r>
        <w:rPr>
          <w:rStyle w:val="hljs-string"/>
        </w:rPr>
        <w:t>,</w:t>
      </w:r>
      <w:r>
        <w:rPr>
          <w:rStyle w:val="HTMLCode"/>
        </w:rPr>
        <w:t xml:space="preserve"> </w:t>
      </w:r>
      <w:r>
        <w:rPr>
          <w:rStyle w:val="hljs-number"/>
        </w:rPr>
        <w:t>2025</w:t>
      </w:r>
    </w:p>
    <w:p w14:paraId="4C1543AE" w14:textId="77777777" w:rsidR="00DB6168" w:rsidRDefault="00DB6168" w:rsidP="00DB6168">
      <w:r>
        <w:pict w14:anchorId="268E131C">
          <v:rect id="_x0000_i1100" style="width:0;height:1.5pt" o:hralign="center" o:hrstd="t" o:hr="t" fillcolor="#a0a0a0" stroked="f"/>
        </w:pict>
      </w:r>
    </w:p>
    <w:p w14:paraId="66D2513C" w14:textId="77777777" w:rsidR="00DB6168" w:rsidRDefault="00DB6168" w:rsidP="00DB6168">
      <w:pPr>
        <w:pStyle w:val="Heading3"/>
      </w:pPr>
      <w:r>
        <w:t>9.4 Annexure D – Policy &amp; Regulatory Reference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2702"/>
        <w:gridCol w:w="3790"/>
      </w:tblGrid>
      <w:tr w:rsidR="00DB6168" w14:paraId="7A132940" w14:textId="77777777" w:rsidTr="00DB6168">
        <w:trPr>
          <w:tblHeader/>
          <w:tblCellSpacing w:w="15" w:type="dxa"/>
        </w:trPr>
        <w:tc>
          <w:tcPr>
            <w:tcW w:w="0" w:type="auto"/>
            <w:vAlign w:val="center"/>
            <w:hideMark/>
          </w:tcPr>
          <w:p w14:paraId="2D8361A2" w14:textId="77777777" w:rsidR="00DB6168" w:rsidRDefault="00DB6168">
            <w:pPr>
              <w:jc w:val="center"/>
              <w:rPr>
                <w:b/>
                <w:bCs/>
              </w:rPr>
            </w:pPr>
            <w:r>
              <w:rPr>
                <w:b/>
                <w:bCs/>
              </w:rPr>
              <w:t>Control ID</w:t>
            </w:r>
          </w:p>
        </w:tc>
        <w:tc>
          <w:tcPr>
            <w:tcW w:w="0" w:type="auto"/>
            <w:vAlign w:val="center"/>
            <w:hideMark/>
          </w:tcPr>
          <w:p w14:paraId="244560D7" w14:textId="77777777" w:rsidR="00DB6168" w:rsidRDefault="00DB6168">
            <w:pPr>
              <w:jc w:val="center"/>
              <w:rPr>
                <w:b/>
                <w:bCs/>
              </w:rPr>
            </w:pPr>
            <w:r>
              <w:rPr>
                <w:b/>
                <w:bCs/>
              </w:rPr>
              <w:t>Linked Policy</w:t>
            </w:r>
          </w:p>
        </w:tc>
        <w:tc>
          <w:tcPr>
            <w:tcW w:w="0" w:type="auto"/>
            <w:vAlign w:val="center"/>
            <w:hideMark/>
          </w:tcPr>
          <w:p w14:paraId="14A0DB8B" w14:textId="77777777" w:rsidR="00DB6168" w:rsidRDefault="00DB6168">
            <w:pPr>
              <w:jc w:val="center"/>
              <w:rPr>
                <w:b/>
                <w:bCs/>
              </w:rPr>
            </w:pPr>
            <w:r>
              <w:rPr>
                <w:b/>
                <w:bCs/>
              </w:rPr>
              <w:t>Regulation Reference</w:t>
            </w:r>
          </w:p>
        </w:tc>
      </w:tr>
      <w:tr w:rsidR="00DB6168" w14:paraId="59A258CC" w14:textId="77777777" w:rsidTr="00DB6168">
        <w:trPr>
          <w:tblCellSpacing w:w="15" w:type="dxa"/>
        </w:trPr>
        <w:tc>
          <w:tcPr>
            <w:tcW w:w="0" w:type="auto"/>
            <w:vAlign w:val="center"/>
            <w:hideMark/>
          </w:tcPr>
          <w:p w14:paraId="4C228093" w14:textId="77777777" w:rsidR="00DB6168" w:rsidRDefault="00DB6168">
            <w:r>
              <w:t>AML-001</w:t>
            </w:r>
          </w:p>
        </w:tc>
        <w:tc>
          <w:tcPr>
            <w:tcW w:w="0" w:type="auto"/>
            <w:vAlign w:val="center"/>
            <w:hideMark/>
          </w:tcPr>
          <w:p w14:paraId="62AB58D9" w14:textId="77777777" w:rsidR="00DB6168" w:rsidRDefault="00DB6168">
            <w:r>
              <w:t>Anti-Fraud &amp; AML Policy</w:t>
            </w:r>
          </w:p>
        </w:tc>
        <w:tc>
          <w:tcPr>
            <w:tcW w:w="0" w:type="auto"/>
            <w:vAlign w:val="center"/>
            <w:hideMark/>
          </w:tcPr>
          <w:p w14:paraId="627C67AE" w14:textId="77777777" w:rsidR="00DB6168" w:rsidRDefault="00DB6168">
            <w:r>
              <w:t>PMLA Act, RBI AML Guidelines</w:t>
            </w:r>
          </w:p>
        </w:tc>
      </w:tr>
      <w:tr w:rsidR="00DB6168" w14:paraId="21B3D601" w14:textId="77777777" w:rsidTr="00DB6168">
        <w:trPr>
          <w:tblCellSpacing w:w="15" w:type="dxa"/>
        </w:trPr>
        <w:tc>
          <w:tcPr>
            <w:tcW w:w="0" w:type="auto"/>
            <w:vAlign w:val="center"/>
            <w:hideMark/>
          </w:tcPr>
          <w:p w14:paraId="44357B1A" w14:textId="77777777" w:rsidR="00DB6168" w:rsidRDefault="00DB6168">
            <w:r>
              <w:t>IT-004</w:t>
            </w:r>
          </w:p>
        </w:tc>
        <w:tc>
          <w:tcPr>
            <w:tcW w:w="0" w:type="auto"/>
            <w:vAlign w:val="center"/>
            <w:hideMark/>
          </w:tcPr>
          <w:p w14:paraId="52C06AFD" w14:textId="77777777" w:rsidR="00DB6168" w:rsidRDefault="00DB6168">
            <w:r>
              <w:t>IT Security Policy</w:t>
            </w:r>
          </w:p>
        </w:tc>
        <w:tc>
          <w:tcPr>
            <w:tcW w:w="0" w:type="auto"/>
            <w:vAlign w:val="center"/>
            <w:hideMark/>
          </w:tcPr>
          <w:p w14:paraId="3AD53DE2" w14:textId="77777777" w:rsidR="00DB6168" w:rsidRDefault="00DB6168">
            <w:r>
              <w:t>ISO 27001, RBI Cyber Security Framework</w:t>
            </w:r>
          </w:p>
        </w:tc>
      </w:tr>
      <w:tr w:rsidR="00DB6168" w14:paraId="6A951693" w14:textId="77777777" w:rsidTr="00DB6168">
        <w:trPr>
          <w:tblCellSpacing w:w="15" w:type="dxa"/>
        </w:trPr>
        <w:tc>
          <w:tcPr>
            <w:tcW w:w="0" w:type="auto"/>
            <w:vAlign w:val="center"/>
            <w:hideMark/>
          </w:tcPr>
          <w:p w14:paraId="0B25A21C" w14:textId="77777777" w:rsidR="00DB6168" w:rsidRDefault="00DB6168">
            <w:r>
              <w:t>TAX-005</w:t>
            </w:r>
          </w:p>
        </w:tc>
        <w:tc>
          <w:tcPr>
            <w:tcW w:w="0" w:type="auto"/>
            <w:vAlign w:val="center"/>
            <w:hideMark/>
          </w:tcPr>
          <w:p w14:paraId="3DC8B30F" w14:textId="77777777" w:rsidR="00DB6168" w:rsidRDefault="00DB6168">
            <w:r>
              <w:t>Tax Policy</w:t>
            </w:r>
          </w:p>
        </w:tc>
        <w:tc>
          <w:tcPr>
            <w:tcW w:w="0" w:type="auto"/>
            <w:vAlign w:val="center"/>
            <w:hideMark/>
          </w:tcPr>
          <w:p w14:paraId="578A2AB4" w14:textId="77777777" w:rsidR="00DB6168" w:rsidRDefault="00DB6168">
            <w:r>
              <w:t>Income Tax Act, OECD Transfer Pricing</w:t>
            </w:r>
          </w:p>
        </w:tc>
      </w:tr>
      <w:tr w:rsidR="00DB6168" w14:paraId="63C76560" w14:textId="77777777" w:rsidTr="00DB6168">
        <w:trPr>
          <w:tblCellSpacing w:w="15" w:type="dxa"/>
        </w:trPr>
        <w:tc>
          <w:tcPr>
            <w:tcW w:w="0" w:type="auto"/>
            <w:vAlign w:val="center"/>
            <w:hideMark/>
          </w:tcPr>
          <w:p w14:paraId="749007C6" w14:textId="77777777" w:rsidR="00DB6168" w:rsidRDefault="00DB6168">
            <w:r>
              <w:t>REG-009</w:t>
            </w:r>
          </w:p>
        </w:tc>
        <w:tc>
          <w:tcPr>
            <w:tcW w:w="0" w:type="auto"/>
            <w:vAlign w:val="center"/>
            <w:hideMark/>
          </w:tcPr>
          <w:p w14:paraId="5487393B" w14:textId="77777777" w:rsidR="00DB6168" w:rsidRDefault="00DB6168">
            <w:r>
              <w:t>Regulatory Compliance Policy</w:t>
            </w:r>
          </w:p>
        </w:tc>
        <w:tc>
          <w:tcPr>
            <w:tcW w:w="0" w:type="auto"/>
            <w:vAlign w:val="center"/>
            <w:hideMark/>
          </w:tcPr>
          <w:p w14:paraId="62AB617A" w14:textId="77777777" w:rsidR="00DB6168" w:rsidRDefault="00DB6168">
            <w:r>
              <w:t>Basel III, RBI Master Circulars</w:t>
            </w:r>
          </w:p>
        </w:tc>
      </w:tr>
      <w:tr w:rsidR="00DB6168" w14:paraId="452851DF" w14:textId="77777777" w:rsidTr="00DB6168">
        <w:trPr>
          <w:tblCellSpacing w:w="15" w:type="dxa"/>
        </w:trPr>
        <w:tc>
          <w:tcPr>
            <w:tcW w:w="0" w:type="auto"/>
            <w:vAlign w:val="center"/>
            <w:hideMark/>
          </w:tcPr>
          <w:p w14:paraId="73890ED4" w14:textId="77777777" w:rsidR="00DB6168" w:rsidRDefault="00DB6168">
            <w:r>
              <w:t>HR-007</w:t>
            </w:r>
          </w:p>
        </w:tc>
        <w:tc>
          <w:tcPr>
            <w:tcW w:w="0" w:type="auto"/>
            <w:vAlign w:val="center"/>
            <w:hideMark/>
          </w:tcPr>
          <w:p w14:paraId="6C0ADDFD" w14:textId="77777777" w:rsidR="00DB6168" w:rsidRDefault="00DB6168">
            <w:r>
              <w:t>HR &amp; Ethics Policy</w:t>
            </w:r>
          </w:p>
        </w:tc>
        <w:tc>
          <w:tcPr>
            <w:tcW w:w="0" w:type="auto"/>
            <w:vAlign w:val="center"/>
            <w:hideMark/>
          </w:tcPr>
          <w:p w14:paraId="77F3203A" w14:textId="77777777" w:rsidR="00DB6168" w:rsidRDefault="00DB6168">
            <w:proofErr w:type="spellStart"/>
            <w:r>
              <w:t>Whistleblower</w:t>
            </w:r>
            <w:proofErr w:type="spellEnd"/>
            <w:r>
              <w:t xml:space="preserve"> Protection Act</w:t>
            </w:r>
          </w:p>
        </w:tc>
      </w:tr>
    </w:tbl>
    <w:p w14:paraId="36D9BB25" w14:textId="77777777" w:rsidR="00DB6168" w:rsidRDefault="00DB6168" w:rsidP="00DB6168">
      <w:pPr>
        <w:pStyle w:val="NormalWeb"/>
      </w:pPr>
      <w:r>
        <w:t>Each control in the inventory is linked to a master policy and, where applicable, external compliance obligations. This ensures alignment during audits and regulatory inspections.</w:t>
      </w:r>
    </w:p>
    <w:p w14:paraId="59ED39D4" w14:textId="77777777" w:rsidR="00DB6168" w:rsidRDefault="00DB6168" w:rsidP="00DB6168">
      <w:r>
        <w:pict w14:anchorId="337FCDB3">
          <v:rect id="_x0000_i1101" style="width:0;height:1.5pt" o:hralign="center" o:hrstd="t" o:hr="t" fillcolor="#a0a0a0" stroked="f"/>
        </w:pict>
      </w:r>
    </w:p>
    <w:p w14:paraId="7CD06D7A" w14:textId="77777777" w:rsidR="00DB6168" w:rsidRDefault="00DB6168" w:rsidP="00DB6168">
      <w:pPr>
        <w:pStyle w:val="Heading3"/>
      </w:pPr>
      <w:r>
        <w:lastRenderedPageBreak/>
        <w:t>9.5 Annexure E – Review &amp; Test Calendar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gridCol w:w="4672"/>
      </w:tblGrid>
      <w:tr w:rsidR="00DB6168" w14:paraId="51361C39" w14:textId="77777777" w:rsidTr="00DB6168">
        <w:trPr>
          <w:tblHeader/>
          <w:tblCellSpacing w:w="15" w:type="dxa"/>
        </w:trPr>
        <w:tc>
          <w:tcPr>
            <w:tcW w:w="0" w:type="auto"/>
            <w:vAlign w:val="center"/>
            <w:hideMark/>
          </w:tcPr>
          <w:p w14:paraId="6304DE00" w14:textId="77777777" w:rsidR="00DB6168" w:rsidRDefault="00DB6168">
            <w:pPr>
              <w:jc w:val="center"/>
              <w:rPr>
                <w:b/>
                <w:bCs/>
              </w:rPr>
            </w:pPr>
            <w:r>
              <w:rPr>
                <w:b/>
                <w:bCs/>
              </w:rPr>
              <w:t>Quarter</w:t>
            </w:r>
          </w:p>
        </w:tc>
        <w:tc>
          <w:tcPr>
            <w:tcW w:w="0" w:type="auto"/>
            <w:vAlign w:val="center"/>
            <w:hideMark/>
          </w:tcPr>
          <w:p w14:paraId="4CC5896E" w14:textId="77777777" w:rsidR="00DB6168" w:rsidRDefault="00DB6168">
            <w:pPr>
              <w:jc w:val="center"/>
              <w:rPr>
                <w:b/>
                <w:bCs/>
              </w:rPr>
            </w:pPr>
            <w:r>
              <w:rPr>
                <w:b/>
                <w:bCs/>
              </w:rPr>
              <w:t>Key Activities</w:t>
            </w:r>
          </w:p>
        </w:tc>
      </w:tr>
      <w:tr w:rsidR="00DB6168" w14:paraId="22CCDD75" w14:textId="77777777" w:rsidTr="00DB6168">
        <w:trPr>
          <w:tblCellSpacing w:w="15" w:type="dxa"/>
        </w:trPr>
        <w:tc>
          <w:tcPr>
            <w:tcW w:w="0" w:type="auto"/>
            <w:vAlign w:val="center"/>
            <w:hideMark/>
          </w:tcPr>
          <w:p w14:paraId="23E599B0" w14:textId="77777777" w:rsidR="00DB6168" w:rsidRDefault="00DB6168">
            <w:r>
              <w:t>Q1</w:t>
            </w:r>
          </w:p>
        </w:tc>
        <w:tc>
          <w:tcPr>
            <w:tcW w:w="0" w:type="auto"/>
            <w:vAlign w:val="center"/>
            <w:hideMark/>
          </w:tcPr>
          <w:p w14:paraId="3A45CCC1" w14:textId="77777777" w:rsidR="00DB6168" w:rsidRDefault="00DB6168">
            <w:r>
              <w:t xml:space="preserve">Annual Control Review </w:t>
            </w:r>
            <w:proofErr w:type="spellStart"/>
            <w:r>
              <w:t>Kickoff</w:t>
            </w:r>
            <w:proofErr w:type="spellEnd"/>
            <w:r>
              <w:t>, Audit Scoping</w:t>
            </w:r>
          </w:p>
        </w:tc>
      </w:tr>
      <w:tr w:rsidR="00DB6168" w14:paraId="7AED7932" w14:textId="77777777" w:rsidTr="00DB6168">
        <w:trPr>
          <w:tblCellSpacing w:w="15" w:type="dxa"/>
        </w:trPr>
        <w:tc>
          <w:tcPr>
            <w:tcW w:w="0" w:type="auto"/>
            <w:vAlign w:val="center"/>
            <w:hideMark/>
          </w:tcPr>
          <w:p w14:paraId="2858A713" w14:textId="77777777" w:rsidR="00DB6168" w:rsidRDefault="00DB6168">
            <w:r>
              <w:t>Q2</w:t>
            </w:r>
          </w:p>
        </w:tc>
        <w:tc>
          <w:tcPr>
            <w:tcW w:w="0" w:type="auto"/>
            <w:vAlign w:val="center"/>
            <w:hideMark/>
          </w:tcPr>
          <w:p w14:paraId="6C0E4803" w14:textId="77777777" w:rsidR="00DB6168" w:rsidRDefault="00DB6168">
            <w:r>
              <w:t>Internal Audit Field Testing, Issue Validation</w:t>
            </w:r>
          </w:p>
        </w:tc>
      </w:tr>
      <w:tr w:rsidR="00DB6168" w14:paraId="04552FAF" w14:textId="77777777" w:rsidTr="00DB6168">
        <w:trPr>
          <w:tblCellSpacing w:w="15" w:type="dxa"/>
        </w:trPr>
        <w:tc>
          <w:tcPr>
            <w:tcW w:w="0" w:type="auto"/>
            <w:vAlign w:val="center"/>
            <w:hideMark/>
          </w:tcPr>
          <w:p w14:paraId="034F78C4" w14:textId="77777777" w:rsidR="00DB6168" w:rsidRDefault="00DB6168">
            <w:r>
              <w:t>Q3</w:t>
            </w:r>
          </w:p>
        </w:tc>
        <w:tc>
          <w:tcPr>
            <w:tcW w:w="0" w:type="auto"/>
            <w:vAlign w:val="center"/>
            <w:hideMark/>
          </w:tcPr>
          <w:p w14:paraId="1AD8A596" w14:textId="77777777" w:rsidR="00DB6168" w:rsidRDefault="00DB6168">
            <w:r>
              <w:t>Remediation Follow-up, RCA Workshops</w:t>
            </w:r>
          </w:p>
        </w:tc>
      </w:tr>
      <w:tr w:rsidR="00DB6168" w14:paraId="305B7018" w14:textId="77777777" w:rsidTr="00DB6168">
        <w:trPr>
          <w:tblCellSpacing w:w="15" w:type="dxa"/>
        </w:trPr>
        <w:tc>
          <w:tcPr>
            <w:tcW w:w="0" w:type="auto"/>
            <w:vAlign w:val="center"/>
            <w:hideMark/>
          </w:tcPr>
          <w:p w14:paraId="5312FBEE" w14:textId="77777777" w:rsidR="00DB6168" w:rsidRDefault="00DB6168">
            <w:r>
              <w:t>Q4</w:t>
            </w:r>
          </w:p>
        </w:tc>
        <w:tc>
          <w:tcPr>
            <w:tcW w:w="0" w:type="auto"/>
            <w:vAlign w:val="center"/>
            <w:hideMark/>
          </w:tcPr>
          <w:p w14:paraId="1A57AB83" w14:textId="77777777" w:rsidR="00DB6168" w:rsidRDefault="00DB6168">
            <w:r>
              <w:t>Risk Reassessment, Control Refresh, Policy Updates</w:t>
            </w:r>
          </w:p>
        </w:tc>
      </w:tr>
    </w:tbl>
    <w:p w14:paraId="295D53A4" w14:textId="77777777" w:rsidR="00DB6168" w:rsidRPr="00C24BA0" w:rsidRDefault="00DB6168" w:rsidP="00DB6168">
      <w:pPr>
        <w:spacing w:before="100" w:beforeAutospacing="1" w:after="100" w:afterAutospacing="1" w:line="240" w:lineRule="auto"/>
        <w:outlineLvl w:val="2"/>
        <w:rPr>
          <w:rFonts w:ascii="Times New Roman" w:eastAsia="Times New Roman" w:hAnsi="Times New Roman" w:cs="Times New Roman"/>
          <w:sz w:val="24"/>
          <w:szCs w:val="24"/>
          <w:lang w:eastAsia="en-IN"/>
        </w:rPr>
      </w:pPr>
    </w:p>
    <w:sectPr w:rsidR="00DB6168" w:rsidRPr="00C24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972"/>
    <w:multiLevelType w:val="multilevel"/>
    <w:tmpl w:val="C898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614A5"/>
    <w:multiLevelType w:val="multilevel"/>
    <w:tmpl w:val="509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5070"/>
    <w:multiLevelType w:val="multilevel"/>
    <w:tmpl w:val="4C90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24A2E"/>
    <w:multiLevelType w:val="multilevel"/>
    <w:tmpl w:val="2892E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B7D9F"/>
    <w:multiLevelType w:val="multilevel"/>
    <w:tmpl w:val="474E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F6AF4"/>
    <w:multiLevelType w:val="multilevel"/>
    <w:tmpl w:val="DEF8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C7B65"/>
    <w:multiLevelType w:val="multilevel"/>
    <w:tmpl w:val="52C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73527"/>
    <w:multiLevelType w:val="multilevel"/>
    <w:tmpl w:val="BE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315F1"/>
    <w:multiLevelType w:val="multilevel"/>
    <w:tmpl w:val="0BAE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D0F6B"/>
    <w:multiLevelType w:val="multilevel"/>
    <w:tmpl w:val="816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80630"/>
    <w:multiLevelType w:val="multilevel"/>
    <w:tmpl w:val="32D6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410DE"/>
    <w:multiLevelType w:val="multilevel"/>
    <w:tmpl w:val="7F1A9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93B52"/>
    <w:multiLevelType w:val="multilevel"/>
    <w:tmpl w:val="EE66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A4FFB"/>
    <w:multiLevelType w:val="multilevel"/>
    <w:tmpl w:val="0C5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009E0"/>
    <w:multiLevelType w:val="multilevel"/>
    <w:tmpl w:val="0BE2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26730"/>
    <w:multiLevelType w:val="multilevel"/>
    <w:tmpl w:val="C4F0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D1504"/>
    <w:multiLevelType w:val="multilevel"/>
    <w:tmpl w:val="CE46D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B743CA"/>
    <w:multiLevelType w:val="multilevel"/>
    <w:tmpl w:val="C3DC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344F0"/>
    <w:multiLevelType w:val="multilevel"/>
    <w:tmpl w:val="FDCC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420D3"/>
    <w:multiLevelType w:val="multilevel"/>
    <w:tmpl w:val="F242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0721C"/>
    <w:multiLevelType w:val="multilevel"/>
    <w:tmpl w:val="C762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B2201D"/>
    <w:multiLevelType w:val="multilevel"/>
    <w:tmpl w:val="769A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953A2"/>
    <w:multiLevelType w:val="multilevel"/>
    <w:tmpl w:val="44BC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42C42"/>
    <w:multiLevelType w:val="multilevel"/>
    <w:tmpl w:val="47F2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A0967"/>
    <w:multiLevelType w:val="multilevel"/>
    <w:tmpl w:val="ECCA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B26170"/>
    <w:multiLevelType w:val="multilevel"/>
    <w:tmpl w:val="AE9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C6351"/>
    <w:multiLevelType w:val="multilevel"/>
    <w:tmpl w:val="EF3A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103271"/>
    <w:multiLevelType w:val="multilevel"/>
    <w:tmpl w:val="ADAC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ED11E8"/>
    <w:multiLevelType w:val="multilevel"/>
    <w:tmpl w:val="46BE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E1F54"/>
    <w:multiLevelType w:val="multilevel"/>
    <w:tmpl w:val="32DE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44EC7"/>
    <w:multiLevelType w:val="multilevel"/>
    <w:tmpl w:val="C53E6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707053"/>
    <w:multiLevelType w:val="multilevel"/>
    <w:tmpl w:val="F820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E80C98"/>
    <w:multiLevelType w:val="multilevel"/>
    <w:tmpl w:val="C0A4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753EA1"/>
    <w:multiLevelType w:val="multilevel"/>
    <w:tmpl w:val="E79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4"/>
  </w:num>
  <w:num w:numId="4">
    <w:abstractNumId w:val="30"/>
  </w:num>
  <w:num w:numId="5">
    <w:abstractNumId w:val="25"/>
  </w:num>
  <w:num w:numId="6">
    <w:abstractNumId w:val="0"/>
  </w:num>
  <w:num w:numId="7">
    <w:abstractNumId w:val="4"/>
  </w:num>
  <w:num w:numId="8">
    <w:abstractNumId w:val="7"/>
  </w:num>
  <w:num w:numId="9">
    <w:abstractNumId w:val="1"/>
  </w:num>
  <w:num w:numId="10">
    <w:abstractNumId w:val="23"/>
  </w:num>
  <w:num w:numId="11">
    <w:abstractNumId w:val="11"/>
  </w:num>
  <w:num w:numId="12">
    <w:abstractNumId w:val="20"/>
  </w:num>
  <w:num w:numId="13">
    <w:abstractNumId w:val="19"/>
  </w:num>
  <w:num w:numId="14">
    <w:abstractNumId w:val="29"/>
  </w:num>
  <w:num w:numId="15">
    <w:abstractNumId w:val="21"/>
  </w:num>
  <w:num w:numId="16">
    <w:abstractNumId w:val="24"/>
  </w:num>
  <w:num w:numId="17">
    <w:abstractNumId w:val="28"/>
  </w:num>
  <w:num w:numId="18">
    <w:abstractNumId w:val="32"/>
  </w:num>
  <w:num w:numId="19">
    <w:abstractNumId w:val="9"/>
  </w:num>
  <w:num w:numId="20">
    <w:abstractNumId w:val="18"/>
  </w:num>
  <w:num w:numId="21">
    <w:abstractNumId w:val="2"/>
  </w:num>
  <w:num w:numId="22">
    <w:abstractNumId w:val="27"/>
  </w:num>
  <w:num w:numId="23">
    <w:abstractNumId w:val="12"/>
  </w:num>
  <w:num w:numId="24">
    <w:abstractNumId w:val="15"/>
  </w:num>
  <w:num w:numId="25">
    <w:abstractNumId w:val="10"/>
  </w:num>
  <w:num w:numId="26">
    <w:abstractNumId w:val="26"/>
  </w:num>
  <w:num w:numId="27">
    <w:abstractNumId w:val="33"/>
  </w:num>
  <w:num w:numId="28">
    <w:abstractNumId w:val="8"/>
  </w:num>
  <w:num w:numId="29">
    <w:abstractNumId w:val="13"/>
  </w:num>
  <w:num w:numId="30">
    <w:abstractNumId w:val="5"/>
  </w:num>
  <w:num w:numId="31">
    <w:abstractNumId w:val="6"/>
  </w:num>
  <w:num w:numId="32">
    <w:abstractNumId w:val="3"/>
  </w:num>
  <w:num w:numId="33">
    <w:abstractNumId w:val="16"/>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A0"/>
    <w:rsid w:val="00565071"/>
    <w:rsid w:val="00C24BA0"/>
    <w:rsid w:val="00DB6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3362"/>
  <w15:chartTrackingRefBased/>
  <w15:docId w15:val="{02C44852-2A47-49C6-B5C9-C0494DBB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24B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4B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24B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BA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24BA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24BA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24BA0"/>
    <w:rPr>
      <w:b/>
      <w:bCs/>
    </w:rPr>
  </w:style>
  <w:style w:type="paragraph" w:customStyle="1" w:styleId="ds-markdown-paragraph">
    <w:name w:val="ds-markdown-paragraph"/>
    <w:basedOn w:val="Normal"/>
    <w:rsid w:val="00C24B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24B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24BA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24B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24BA0"/>
    <w:rPr>
      <w:i/>
      <w:iCs/>
    </w:rPr>
  </w:style>
  <w:style w:type="paragraph" w:styleId="HTMLPreformatted">
    <w:name w:val="HTML Preformatted"/>
    <w:basedOn w:val="Normal"/>
    <w:link w:val="HTMLPreformattedChar"/>
    <w:uiPriority w:val="99"/>
    <w:semiHidden/>
    <w:unhideWhenUsed/>
    <w:rsid w:val="00DB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61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B6168"/>
    <w:rPr>
      <w:rFonts w:ascii="Courier New" w:eastAsia="Times New Roman" w:hAnsi="Courier New" w:cs="Courier New"/>
      <w:sz w:val="20"/>
      <w:szCs w:val="20"/>
    </w:rPr>
  </w:style>
  <w:style w:type="character" w:customStyle="1" w:styleId="hljs-strong">
    <w:name w:val="hljs-strong"/>
    <w:basedOn w:val="DefaultParagraphFont"/>
    <w:rsid w:val="00DB6168"/>
  </w:style>
  <w:style w:type="character" w:customStyle="1" w:styleId="hljs-attr">
    <w:name w:val="hljs-attr"/>
    <w:basedOn w:val="DefaultParagraphFont"/>
    <w:rsid w:val="00DB6168"/>
  </w:style>
  <w:style w:type="character" w:customStyle="1" w:styleId="hljs-string">
    <w:name w:val="hljs-string"/>
    <w:basedOn w:val="DefaultParagraphFont"/>
    <w:rsid w:val="00DB6168"/>
  </w:style>
  <w:style w:type="character" w:customStyle="1" w:styleId="hljs-number">
    <w:name w:val="hljs-number"/>
    <w:basedOn w:val="DefaultParagraphFont"/>
    <w:rsid w:val="00DB6168"/>
  </w:style>
  <w:style w:type="character" w:customStyle="1" w:styleId="sr-only">
    <w:name w:val="sr-only"/>
    <w:basedOn w:val="DefaultParagraphFont"/>
    <w:rsid w:val="00DB6168"/>
  </w:style>
  <w:style w:type="paragraph" w:styleId="z-TopofForm">
    <w:name w:val="HTML Top of Form"/>
    <w:basedOn w:val="Normal"/>
    <w:next w:val="Normal"/>
    <w:link w:val="z-TopofFormChar"/>
    <w:hidden/>
    <w:uiPriority w:val="99"/>
    <w:semiHidden/>
    <w:unhideWhenUsed/>
    <w:rsid w:val="00DB616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B6168"/>
    <w:rPr>
      <w:rFonts w:ascii="Arial" w:eastAsia="Times New Roman" w:hAnsi="Arial" w:cs="Arial"/>
      <w:vanish/>
      <w:sz w:val="16"/>
      <w:szCs w:val="16"/>
      <w:lang w:eastAsia="en-IN"/>
    </w:rPr>
  </w:style>
  <w:style w:type="paragraph" w:customStyle="1" w:styleId="placeholder">
    <w:name w:val="placeholder"/>
    <w:basedOn w:val="Normal"/>
    <w:rsid w:val="00DB61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15">
    <w:name w:val="ms-1.5"/>
    <w:basedOn w:val="DefaultParagraphFont"/>
    <w:rsid w:val="00DB6168"/>
  </w:style>
  <w:style w:type="paragraph" w:styleId="z-BottomofForm">
    <w:name w:val="HTML Bottom of Form"/>
    <w:basedOn w:val="Normal"/>
    <w:next w:val="Normal"/>
    <w:link w:val="z-BottomofFormChar"/>
    <w:hidden/>
    <w:uiPriority w:val="99"/>
    <w:semiHidden/>
    <w:unhideWhenUsed/>
    <w:rsid w:val="00DB616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B616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18595">
      <w:bodyDiv w:val="1"/>
      <w:marLeft w:val="0"/>
      <w:marRight w:val="0"/>
      <w:marTop w:val="0"/>
      <w:marBottom w:val="0"/>
      <w:divBdr>
        <w:top w:val="none" w:sz="0" w:space="0" w:color="auto"/>
        <w:left w:val="none" w:sz="0" w:space="0" w:color="auto"/>
        <w:bottom w:val="none" w:sz="0" w:space="0" w:color="auto"/>
        <w:right w:val="none" w:sz="0" w:space="0" w:color="auto"/>
      </w:divBdr>
      <w:divsChild>
        <w:div w:id="622612530">
          <w:marLeft w:val="0"/>
          <w:marRight w:val="0"/>
          <w:marTop w:val="0"/>
          <w:marBottom w:val="0"/>
          <w:divBdr>
            <w:top w:val="none" w:sz="0" w:space="0" w:color="auto"/>
            <w:left w:val="none" w:sz="0" w:space="0" w:color="auto"/>
            <w:bottom w:val="none" w:sz="0" w:space="0" w:color="auto"/>
            <w:right w:val="none" w:sz="0" w:space="0" w:color="auto"/>
          </w:divBdr>
          <w:divsChild>
            <w:div w:id="792552649">
              <w:marLeft w:val="0"/>
              <w:marRight w:val="0"/>
              <w:marTop w:val="0"/>
              <w:marBottom w:val="0"/>
              <w:divBdr>
                <w:top w:val="none" w:sz="0" w:space="0" w:color="auto"/>
                <w:left w:val="none" w:sz="0" w:space="0" w:color="auto"/>
                <w:bottom w:val="none" w:sz="0" w:space="0" w:color="auto"/>
                <w:right w:val="none" w:sz="0" w:space="0" w:color="auto"/>
              </w:divBdr>
            </w:div>
          </w:divsChild>
        </w:div>
        <w:div w:id="1098452828">
          <w:marLeft w:val="0"/>
          <w:marRight w:val="0"/>
          <w:marTop w:val="0"/>
          <w:marBottom w:val="0"/>
          <w:divBdr>
            <w:top w:val="none" w:sz="0" w:space="0" w:color="auto"/>
            <w:left w:val="none" w:sz="0" w:space="0" w:color="auto"/>
            <w:bottom w:val="none" w:sz="0" w:space="0" w:color="auto"/>
            <w:right w:val="none" w:sz="0" w:space="0" w:color="auto"/>
          </w:divBdr>
          <w:divsChild>
            <w:div w:id="790170176">
              <w:marLeft w:val="0"/>
              <w:marRight w:val="0"/>
              <w:marTop w:val="0"/>
              <w:marBottom w:val="0"/>
              <w:divBdr>
                <w:top w:val="none" w:sz="0" w:space="0" w:color="auto"/>
                <w:left w:val="none" w:sz="0" w:space="0" w:color="auto"/>
                <w:bottom w:val="none" w:sz="0" w:space="0" w:color="auto"/>
                <w:right w:val="none" w:sz="0" w:space="0" w:color="auto"/>
              </w:divBdr>
            </w:div>
          </w:divsChild>
        </w:div>
        <w:div w:id="222524417">
          <w:marLeft w:val="0"/>
          <w:marRight w:val="0"/>
          <w:marTop w:val="0"/>
          <w:marBottom w:val="0"/>
          <w:divBdr>
            <w:top w:val="none" w:sz="0" w:space="0" w:color="auto"/>
            <w:left w:val="none" w:sz="0" w:space="0" w:color="auto"/>
            <w:bottom w:val="none" w:sz="0" w:space="0" w:color="auto"/>
            <w:right w:val="none" w:sz="0" w:space="0" w:color="auto"/>
          </w:divBdr>
          <w:divsChild>
            <w:div w:id="1127040269">
              <w:marLeft w:val="0"/>
              <w:marRight w:val="0"/>
              <w:marTop w:val="0"/>
              <w:marBottom w:val="0"/>
              <w:divBdr>
                <w:top w:val="none" w:sz="0" w:space="0" w:color="auto"/>
                <w:left w:val="none" w:sz="0" w:space="0" w:color="auto"/>
                <w:bottom w:val="none" w:sz="0" w:space="0" w:color="auto"/>
                <w:right w:val="none" w:sz="0" w:space="0" w:color="auto"/>
              </w:divBdr>
            </w:div>
          </w:divsChild>
        </w:div>
        <w:div w:id="2135976281">
          <w:marLeft w:val="0"/>
          <w:marRight w:val="0"/>
          <w:marTop w:val="0"/>
          <w:marBottom w:val="0"/>
          <w:divBdr>
            <w:top w:val="none" w:sz="0" w:space="0" w:color="auto"/>
            <w:left w:val="none" w:sz="0" w:space="0" w:color="auto"/>
            <w:bottom w:val="none" w:sz="0" w:space="0" w:color="auto"/>
            <w:right w:val="none" w:sz="0" w:space="0" w:color="auto"/>
          </w:divBdr>
          <w:divsChild>
            <w:div w:id="10316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4523">
      <w:bodyDiv w:val="1"/>
      <w:marLeft w:val="0"/>
      <w:marRight w:val="0"/>
      <w:marTop w:val="0"/>
      <w:marBottom w:val="0"/>
      <w:divBdr>
        <w:top w:val="none" w:sz="0" w:space="0" w:color="auto"/>
        <w:left w:val="none" w:sz="0" w:space="0" w:color="auto"/>
        <w:bottom w:val="none" w:sz="0" w:space="0" w:color="auto"/>
        <w:right w:val="none" w:sz="0" w:space="0" w:color="auto"/>
      </w:divBdr>
      <w:divsChild>
        <w:div w:id="20597079">
          <w:marLeft w:val="0"/>
          <w:marRight w:val="0"/>
          <w:marTop w:val="0"/>
          <w:marBottom w:val="0"/>
          <w:divBdr>
            <w:top w:val="none" w:sz="0" w:space="0" w:color="auto"/>
            <w:left w:val="none" w:sz="0" w:space="0" w:color="auto"/>
            <w:bottom w:val="none" w:sz="0" w:space="0" w:color="auto"/>
            <w:right w:val="none" w:sz="0" w:space="0" w:color="auto"/>
          </w:divBdr>
          <w:divsChild>
            <w:div w:id="1858276663">
              <w:marLeft w:val="0"/>
              <w:marRight w:val="0"/>
              <w:marTop w:val="0"/>
              <w:marBottom w:val="0"/>
              <w:divBdr>
                <w:top w:val="none" w:sz="0" w:space="0" w:color="auto"/>
                <w:left w:val="none" w:sz="0" w:space="0" w:color="auto"/>
                <w:bottom w:val="none" w:sz="0" w:space="0" w:color="auto"/>
                <w:right w:val="none" w:sz="0" w:space="0" w:color="auto"/>
              </w:divBdr>
            </w:div>
          </w:divsChild>
        </w:div>
        <w:div w:id="751775154">
          <w:marLeft w:val="0"/>
          <w:marRight w:val="0"/>
          <w:marTop w:val="0"/>
          <w:marBottom w:val="0"/>
          <w:divBdr>
            <w:top w:val="none" w:sz="0" w:space="0" w:color="auto"/>
            <w:left w:val="none" w:sz="0" w:space="0" w:color="auto"/>
            <w:bottom w:val="none" w:sz="0" w:space="0" w:color="auto"/>
            <w:right w:val="none" w:sz="0" w:space="0" w:color="auto"/>
          </w:divBdr>
          <w:divsChild>
            <w:div w:id="681905291">
              <w:marLeft w:val="0"/>
              <w:marRight w:val="0"/>
              <w:marTop w:val="0"/>
              <w:marBottom w:val="0"/>
              <w:divBdr>
                <w:top w:val="none" w:sz="0" w:space="0" w:color="auto"/>
                <w:left w:val="none" w:sz="0" w:space="0" w:color="auto"/>
                <w:bottom w:val="none" w:sz="0" w:space="0" w:color="auto"/>
                <w:right w:val="none" w:sz="0" w:space="0" w:color="auto"/>
              </w:divBdr>
            </w:div>
          </w:divsChild>
        </w:div>
        <w:div w:id="1793479907">
          <w:marLeft w:val="0"/>
          <w:marRight w:val="0"/>
          <w:marTop w:val="0"/>
          <w:marBottom w:val="0"/>
          <w:divBdr>
            <w:top w:val="none" w:sz="0" w:space="0" w:color="auto"/>
            <w:left w:val="none" w:sz="0" w:space="0" w:color="auto"/>
            <w:bottom w:val="none" w:sz="0" w:space="0" w:color="auto"/>
            <w:right w:val="none" w:sz="0" w:space="0" w:color="auto"/>
          </w:divBdr>
          <w:divsChild>
            <w:div w:id="19462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6126">
      <w:bodyDiv w:val="1"/>
      <w:marLeft w:val="0"/>
      <w:marRight w:val="0"/>
      <w:marTop w:val="0"/>
      <w:marBottom w:val="0"/>
      <w:divBdr>
        <w:top w:val="none" w:sz="0" w:space="0" w:color="auto"/>
        <w:left w:val="none" w:sz="0" w:space="0" w:color="auto"/>
        <w:bottom w:val="none" w:sz="0" w:space="0" w:color="auto"/>
        <w:right w:val="none" w:sz="0" w:space="0" w:color="auto"/>
      </w:divBdr>
    </w:div>
    <w:div w:id="899826317">
      <w:bodyDiv w:val="1"/>
      <w:marLeft w:val="0"/>
      <w:marRight w:val="0"/>
      <w:marTop w:val="0"/>
      <w:marBottom w:val="0"/>
      <w:divBdr>
        <w:top w:val="none" w:sz="0" w:space="0" w:color="auto"/>
        <w:left w:val="none" w:sz="0" w:space="0" w:color="auto"/>
        <w:bottom w:val="none" w:sz="0" w:space="0" w:color="auto"/>
        <w:right w:val="none" w:sz="0" w:space="0" w:color="auto"/>
      </w:divBdr>
      <w:divsChild>
        <w:div w:id="650527228">
          <w:marLeft w:val="0"/>
          <w:marRight w:val="0"/>
          <w:marTop w:val="0"/>
          <w:marBottom w:val="0"/>
          <w:divBdr>
            <w:top w:val="none" w:sz="0" w:space="0" w:color="auto"/>
            <w:left w:val="none" w:sz="0" w:space="0" w:color="auto"/>
            <w:bottom w:val="none" w:sz="0" w:space="0" w:color="auto"/>
            <w:right w:val="none" w:sz="0" w:space="0" w:color="auto"/>
          </w:divBdr>
          <w:divsChild>
            <w:div w:id="1241208939">
              <w:marLeft w:val="0"/>
              <w:marRight w:val="0"/>
              <w:marTop w:val="0"/>
              <w:marBottom w:val="0"/>
              <w:divBdr>
                <w:top w:val="none" w:sz="0" w:space="0" w:color="auto"/>
                <w:left w:val="none" w:sz="0" w:space="0" w:color="auto"/>
                <w:bottom w:val="none" w:sz="0" w:space="0" w:color="auto"/>
                <w:right w:val="none" w:sz="0" w:space="0" w:color="auto"/>
              </w:divBdr>
            </w:div>
          </w:divsChild>
        </w:div>
        <w:div w:id="2020233810">
          <w:marLeft w:val="0"/>
          <w:marRight w:val="0"/>
          <w:marTop w:val="0"/>
          <w:marBottom w:val="0"/>
          <w:divBdr>
            <w:top w:val="none" w:sz="0" w:space="0" w:color="auto"/>
            <w:left w:val="none" w:sz="0" w:space="0" w:color="auto"/>
            <w:bottom w:val="none" w:sz="0" w:space="0" w:color="auto"/>
            <w:right w:val="none" w:sz="0" w:space="0" w:color="auto"/>
          </w:divBdr>
          <w:divsChild>
            <w:div w:id="9071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1868">
      <w:bodyDiv w:val="1"/>
      <w:marLeft w:val="0"/>
      <w:marRight w:val="0"/>
      <w:marTop w:val="0"/>
      <w:marBottom w:val="0"/>
      <w:divBdr>
        <w:top w:val="none" w:sz="0" w:space="0" w:color="auto"/>
        <w:left w:val="none" w:sz="0" w:space="0" w:color="auto"/>
        <w:bottom w:val="none" w:sz="0" w:space="0" w:color="auto"/>
        <w:right w:val="none" w:sz="0" w:space="0" w:color="auto"/>
      </w:divBdr>
      <w:divsChild>
        <w:div w:id="516045148">
          <w:marLeft w:val="0"/>
          <w:marRight w:val="0"/>
          <w:marTop w:val="0"/>
          <w:marBottom w:val="0"/>
          <w:divBdr>
            <w:top w:val="none" w:sz="0" w:space="0" w:color="auto"/>
            <w:left w:val="none" w:sz="0" w:space="0" w:color="auto"/>
            <w:bottom w:val="none" w:sz="0" w:space="0" w:color="auto"/>
            <w:right w:val="none" w:sz="0" w:space="0" w:color="auto"/>
          </w:divBdr>
          <w:divsChild>
            <w:div w:id="1716395401">
              <w:marLeft w:val="0"/>
              <w:marRight w:val="0"/>
              <w:marTop w:val="0"/>
              <w:marBottom w:val="0"/>
              <w:divBdr>
                <w:top w:val="none" w:sz="0" w:space="0" w:color="auto"/>
                <w:left w:val="none" w:sz="0" w:space="0" w:color="auto"/>
                <w:bottom w:val="none" w:sz="0" w:space="0" w:color="auto"/>
                <w:right w:val="none" w:sz="0" w:space="0" w:color="auto"/>
              </w:divBdr>
              <w:divsChild>
                <w:div w:id="1445661145">
                  <w:marLeft w:val="0"/>
                  <w:marRight w:val="0"/>
                  <w:marTop w:val="0"/>
                  <w:marBottom w:val="0"/>
                  <w:divBdr>
                    <w:top w:val="none" w:sz="0" w:space="0" w:color="auto"/>
                    <w:left w:val="none" w:sz="0" w:space="0" w:color="auto"/>
                    <w:bottom w:val="none" w:sz="0" w:space="0" w:color="auto"/>
                    <w:right w:val="none" w:sz="0" w:space="0" w:color="auto"/>
                  </w:divBdr>
                  <w:divsChild>
                    <w:div w:id="450520143">
                      <w:marLeft w:val="0"/>
                      <w:marRight w:val="0"/>
                      <w:marTop w:val="0"/>
                      <w:marBottom w:val="0"/>
                      <w:divBdr>
                        <w:top w:val="none" w:sz="0" w:space="0" w:color="auto"/>
                        <w:left w:val="none" w:sz="0" w:space="0" w:color="auto"/>
                        <w:bottom w:val="none" w:sz="0" w:space="0" w:color="auto"/>
                        <w:right w:val="none" w:sz="0" w:space="0" w:color="auto"/>
                      </w:divBdr>
                      <w:divsChild>
                        <w:div w:id="1507357758">
                          <w:marLeft w:val="0"/>
                          <w:marRight w:val="0"/>
                          <w:marTop w:val="0"/>
                          <w:marBottom w:val="0"/>
                          <w:divBdr>
                            <w:top w:val="none" w:sz="0" w:space="0" w:color="auto"/>
                            <w:left w:val="none" w:sz="0" w:space="0" w:color="auto"/>
                            <w:bottom w:val="none" w:sz="0" w:space="0" w:color="auto"/>
                            <w:right w:val="none" w:sz="0" w:space="0" w:color="auto"/>
                          </w:divBdr>
                          <w:divsChild>
                            <w:div w:id="430855867">
                              <w:marLeft w:val="0"/>
                              <w:marRight w:val="0"/>
                              <w:marTop w:val="0"/>
                              <w:marBottom w:val="0"/>
                              <w:divBdr>
                                <w:top w:val="none" w:sz="0" w:space="0" w:color="auto"/>
                                <w:left w:val="none" w:sz="0" w:space="0" w:color="auto"/>
                                <w:bottom w:val="none" w:sz="0" w:space="0" w:color="auto"/>
                                <w:right w:val="none" w:sz="0" w:space="0" w:color="auto"/>
                              </w:divBdr>
                              <w:divsChild>
                                <w:div w:id="234516191">
                                  <w:marLeft w:val="0"/>
                                  <w:marRight w:val="0"/>
                                  <w:marTop w:val="0"/>
                                  <w:marBottom w:val="0"/>
                                  <w:divBdr>
                                    <w:top w:val="none" w:sz="0" w:space="0" w:color="auto"/>
                                    <w:left w:val="none" w:sz="0" w:space="0" w:color="auto"/>
                                    <w:bottom w:val="none" w:sz="0" w:space="0" w:color="auto"/>
                                    <w:right w:val="none" w:sz="0" w:space="0" w:color="auto"/>
                                  </w:divBdr>
                                  <w:divsChild>
                                    <w:div w:id="942566870">
                                      <w:marLeft w:val="0"/>
                                      <w:marRight w:val="0"/>
                                      <w:marTop w:val="0"/>
                                      <w:marBottom w:val="0"/>
                                      <w:divBdr>
                                        <w:top w:val="none" w:sz="0" w:space="0" w:color="auto"/>
                                        <w:left w:val="none" w:sz="0" w:space="0" w:color="auto"/>
                                        <w:bottom w:val="none" w:sz="0" w:space="0" w:color="auto"/>
                                        <w:right w:val="none" w:sz="0" w:space="0" w:color="auto"/>
                                      </w:divBdr>
                                      <w:divsChild>
                                        <w:div w:id="1006788626">
                                          <w:marLeft w:val="0"/>
                                          <w:marRight w:val="0"/>
                                          <w:marTop w:val="0"/>
                                          <w:marBottom w:val="0"/>
                                          <w:divBdr>
                                            <w:top w:val="none" w:sz="0" w:space="0" w:color="auto"/>
                                            <w:left w:val="none" w:sz="0" w:space="0" w:color="auto"/>
                                            <w:bottom w:val="none" w:sz="0" w:space="0" w:color="auto"/>
                                            <w:right w:val="none" w:sz="0" w:space="0" w:color="auto"/>
                                          </w:divBdr>
                                          <w:divsChild>
                                            <w:div w:id="829099958">
                                              <w:marLeft w:val="0"/>
                                              <w:marRight w:val="0"/>
                                              <w:marTop w:val="0"/>
                                              <w:marBottom w:val="0"/>
                                              <w:divBdr>
                                                <w:top w:val="none" w:sz="0" w:space="0" w:color="auto"/>
                                                <w:left w:val="none" w:sz="0" w:space="0" w:color="auto"/>
                                                <w:bottom w:val="none" w:sz="0" w:space="0" w:color="auto"/>
                                                <w:right w:val="none" w:sz="0" w:space="0" w:color="auto"/>
                                              </w:divBdr>
                                              <w:divsChild>
                                                <w:div w:id="169830302">
                                                  <w:marLeft w:val="0"/>
                                                  <w:marRight w:val="0"/>
                                                  <w:marTop w:val="0"/>
                                                  <w:marBottom w:val="0"/>
                                                  <w:divBdr>
                                                    <w:top w:val="none" w:sz="0" w:space="0" w:color="auto"/>
                                                    <w:left w:val="none" w:sz="0" w:space="0" w:color="auto"/>
                                                    <w:bottom w:val="none" w:sz="0" w:space="0" w:color="auto"/>
                                                    <w:right w:val="none" w:sz="0" w:space="0" w:color="auto"/>
                                                  </w:divBdr>
                                                  <w:divsChild>
                                                    <w:div w:id="1494252830">
                                                      <w:marLeft w:val="0"/>
                                                      <w:marRight w:val="0"/>
                                                      <w:marTop w:val="0"/>
                                                      <w:marBottom w:val="0"/>
                                                      <w:divBdr>
                                                        <w:top w:val="none" w:sz="0" w:space="0" w:color="auto"/>
                                                        <w:left w:val="none" w:sz="0" w:space="0" w:color="auto"/>
                                                        <w:bottom w:val="none" w:sz="0" w:space="0" w:color="auto"/>
                                                        <w:right w:val="none" w:sz="0" w:space="0" w:color="auto"/>
                                                      </w:divBdr>
                                                      <w:divsChild>
                                                        <w:div w:id="1362319024">
                                                          <w:marLeft w:val="0"/>
                                                          <w:marRight w:val="0"/>
                                                          <w:marTop w:val="0"/>
                                                          <w:marBottom w:val="0"/>
                                                          <w:divBdr>
                                                            <w:top w:val="none" w:sz="0" w:space="0" w:color="auto"/>
                                                            <w:left w:val="none" w:sz="0" w:space="0" w:color="auto"/>
                                                            <w:bottom w:val="none" w:sz="0" w:space="0" w:color="auto"/>
                                                            <w:right w:val="none" w:sz="0" w:space="0" w:color="auto"/>
                                                          </w:divBdr>
                                                          <w:divsChild>
                                                            <w:div w:id="1997762546">
                                                              <w:marLeft w:val="0"/>
                                                              <w:marRight w:val="0"/>
                                                              <w:marTop w:val="0"/>
                                                              <w:marBottom w:val="0"/>
                                                              <w:divBdr>
                                                                <w:top w:val="none" w:sz="0" w:space="0" w:color="auto"/>
                                                                <w:left w:val="none" w:sz="0" w:space="0" w:color="auto"/>
                                                                <w:bottom w:val="none" w:sz="0" w:space="0" w:color="auto"/>
                                                                <w:right w:val="none" w:sz="0" w:space="0" w:color="auto"/>
                                                              </w:divBdr>
                                                            </w:div>
                                                          </w:divsChild>
                                                        </w:div>
                                                        <w:div w:id="1838497488">
                                                          <w:marLeft w:val="0"/>
                                                          <w:marRight w:val="0"/>
                                                          <w:marTop w:val="0"/>
                                                          <w:marBottom w:val="0"/>
                                                          <w:divBdr>
                                                            <w:top w:val="none" w:sz="0" w:space="0" w:color="auto"/>
                                                            <w:left w:val="none" w:sz="0" w:space="0" w:color="auto"/>
                                                            <w:bottom w:val="none" w:sz="0" w:space="0" w:color="auto"/>
                                                            <w:right w:val="none" w:sz="0" w:space="0" w:color="auto"/>
                                                          </w:divBdr>
                                                          <w:divsChild>
                                                            <w:div w:id="588730253">
                                                              <w:marLeft w:val="0"/>
                                                              <w:marRight w:val="0"/>
                                                              <w:marTop w:val="0"/>
                                                              <w:marBottom w:val="0"/>
                                                              <w:divBdr>
                                                                <w:top w:val="none" w:sz="0" w:space="0" w:color="auto"/>
                                                                <w:left w:val="none" w:sz="0" w:space="0" w:color="auto"/>
                                                                <w:bottom w:val="none" w:sz="0" w:space="0" w:color="auto"/>
                                                                <w:right w:val="none" w:sz="0" w:space="0" w:color="auto"/>
                                                              </w:divBdr>
                                                            </w:div>
                                                          </w:divsChild>
                                                        </w:div>
                                                        <w:div w:id="1758357168">
                                                          <w:marLeft w:val="0"/>
                                                          <w:marRight w:val="0"/>
                                                          <w:marTop w:val="0"/>
                                                          <w:marBottom w:val="0"/>
                                                          <w:divBdr>
                                                            <w:top w:val="none" w:sz="0" w:space="0" w:color="auto"/>
                                                            <w:left w:val="none" w:sz="0" w:space="0" w:color="auto"/>
                                                            <w:bottom w:val="none" w:sz="0" w:space="0" w:color="auto"/>
                                                            <w:right w:val="none" w:sz="0" w:space="0" w:color="auto"/>
                                                          </w:divBdr>
                                                          <w:divsChild>
                                                            <w:div w:id="1372730482">
                                                              <w:marLeft w:val="0"/>
                                                              <w:marRight w:val="0"/>
                                                              <w:marTop w:val="0"/>
                                                              <w:marBottom w:val="0"/>
                                                              <w:divBdr>
                                                                <w:top w:val="none" w:sz="0" w:space="0" w:color="auto"/>
                                                                <w:left w:val="none" w:sz="0" w:space="0" w:color="auto"/>
                                                                <w:bottom w:val="none" w:sz="0" w:space="0" w:color="auto"/>
                                                                <w:right w:val="none" w:sz="0" w:space="0" w:color="auto"/>
                                                              </w:divBdr>
                                                            </w:div>
                                                            <w:div w:id="1956907538">
                                                              <w:marLeft w:val="0"/>
                                                              <w:marRight w:val="0"/>
                                                              <w:marTop w:val="0"/>
                                                              <w:marBottom w:val="0"/>
                                                              <w:divBdr>
                                                                <w:top w:val="none" w:sz="0" w:space="0" w:color="auto"/>
                                                                <w:left w:val="none" w:sz="0" w:space="0" w:color="auto"/>
                                                                <w:bottom w:val="none" w:sz="0" w:space="0" w:color="auto"/>
                                                                <w:right w:val="none" w:sz="0" w:space="0" w:color="auto"/>
                                                              </w:divBdr>
                                                              <w:divsChild>
                                                                <w:div w:id="1809013636">
                                                                  <w:marLeft w:val="0"/>
                                                                  <w:marRight w:val="0"/>
                                                                  <w:marTop w:val="0"/>
                                                                  <w:marBottom w:val="0"/>
                                                                  <w:divBdr>
                                                                    <w:top w:val="none" w:sz="0" w:space="0" w:color="auto"/>
                                                                    <w:left w:val="none" w:sz="0" w:space="0" w:color="auto"/>
                                                                    <w:bottom w:val="none" w:sz="0" w:space="0" w:color="auto"/>
                                                                    <w:right w:val="none" w:sz="0" w:space="0" w:color="auto"/>
                                                                  </w:divBdr>
                                                                  <w:divsChild>
                                                                    <w:div w:id="193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8282">
                                                              <w:marLeft w:val="0"/>
                                                              <w:marRight w:val="0"/>
                                                              <w:marTop w:val="0"/>
                                                              <w:marBottom w:val="0"/>
                                                              <w:divBdr>
                                                                <w:top w:val="none" w:sz="0" w:space="0" w:color="auto"/>
                                                                <w:left w:val="none" w:sz="0" w:space="0" w:color="auto"/>
                                                                <w:bottom w:val="none" w:sz="0" w:space="0" w:color="auto"/>
                                                                <w:right w:val="none" w:sz="0" w:space="0" w:color="auto"/>
                                                              </w:divBdr>
                                                            </w:div>
                                                          </w:divsChild>
                                                        </w:div>
                                                        <w:div w:id="1789154100">
                                                          <w:marLeft w:val="0"/>
                                                          <w:marRight w:val="0"/>
                                                          <w:marTop w:val="0"/>
                                                          <w:marBottom w:val="0"/>
                                                          <w:divBdr>
                                                            <w:top w:val="none" w:sz="0" w:space="0" w:color="auto"/>
                                                            <w:left w:val="none" w:sz="0" w:space="0" w:color="auto"/>
                                                            <w:bottom w:val="none" w:sz="0" w:space="0" w:color="auto"/>
                                                            <w:right w:val="none" w:sz="0" w:space="0" w:color="auto"/>
                                                          </w:divBdr>
                                                          <w:divsChild>
                                                            <w:div w:id="1996570611">
                                                              <w:marLeft w:val="0"/>
                                                              <w:marRight w:val="0"/>
                                                              <w:marTop w:val="0"/>
                                                              <w:marBottom w:val="0"/>
                                                              <w:divBdr>
                                                                <w:top w:val="none" w:sz="0" w:space="0" w:color="auto"/>
                                                                <w:left w:val="none" w:sz="0" w:space="0" w:color="auto"/>
                                                                <w:bottom w:val="none" w:sz="0" w:space="0" w:color="auto"/>
                                                                <w:right w:val="none" w:sz="0" w:space="0" w:color="auto"/>
                                                              </w:divBdr>
                                                            </w:div>
                                                          </w:divsChild>
                                                        </w:div>
                                                        <w:div w:id="275253392">
                                                          <w:marLeft w:val="0"/>
                                                          <w:marRight w:val="0"/>
                                                          <w:marTop w:val="0"/>
                                                          <w:marBottom w:val="0"/>
                                                          <w:divBdr>
                                                            <w:top w:val="none" w:sz="0" w:space="0" w:color="auto"/>
                                                            <w:left w:val="none" w:sz="0" w:space="0" w:color="auto"/>
                                                            <w:bottom w:val="none" w:sz="0" w:space="0" w:color="auto"/>
                                                            <w:right w:val="none" w:sz="0" w:space="0" w:color="auto"/>
                                                          </w:divBdr>
                                                          <w:divsChild>
                                                            <w:div w:id="389621443">
                                                              <w:marLeft w:val="0"/>
                                                              <w:marRight w:val="0"/>
                                                              <w:marTop w:val="0"/>
                                                              <w:marBottom w:val="0"/>
                                                              <w:divBdr>
                                                                <w:top w:val="none" w:sz="0" w:space="0" w:color="auto"/>
                                                                <w:left w:val="none" w:sz="0" w:space="0" w:color="auto"/>
                                                                <w:bottom w:val="none" w:sz="0" w:space="0" w:color="auto"/>
                                                                <w:right w:val="none" w:sz="0" w:space="0" w:color="auto"/>
                                                              </w:divBdr>
                                                            </w:div>
                                                            <w:div w:id="2071880512">
                                                              <w:marLeft w:val="0"/>
                                                              <w:marRight w:val="0"/>
                                                              <w:marTop w:val="0"/>
                                                              <w:marBottom w:val="0"/>
                                                              <w:divBdr>
                                                                <w:top w:val="none" w:sz="0" w:space="0" w:color="auto"/>
                                                                <w:left w:val="none" w:sz="0" w:space="0" w:color="auto"/>
                                                                <w:bottom w:val="none" w:sz="0" w:space="0" w:color="auto"/>
                                                                <w:right w:val="none" w:sz="0" w:space="0" w:color="auto"/>
                                                              </w:divBdr>
                                                              <w:divsChild>
                                                                <w:div w:id="80298369">
                                                                  <w:marLeft w:val="0"/>
                                                                  <w:marRight w:val="0"/>
                                                                  <w:marTop w:val="0"/>
                                                                  <w:marBottom w:val="0"/>
                                                                  <w:divBdr>
                                                                    <w:top w:val="none" w:sz="0" w:space="0" w:color="auto"/>
                                                                    <w:left w:val="none" w:sz="0" w:space="0" w:color="auto"/>
                                                                    <w:bottom w:val="none" w:sz="0" w:space="0" w:color="auto"/>
                                                                    <w:right w:val="none" w:sz="0" w:space="0" w:color="auto"/>
                                                                  </w:divBdr>
                                                                  <w:divsChild>
                                                                    <w:div w:id="4613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295">
                                                              <w:marLeft w:val="0"/>
                                                              <w:marRight w:val="0"/>
                                                              <w:marTop w:val="0"/>
                                                              <w:marBottom w:val="0"/>
                                                              <w:divBdr>
                                                                <w:top w:val="none" w:sz="0" w:space="0" w:color="auto"/>
                                                                <w:left w:val="none" w:sz="0" w:space="0" w:color="auto"/>
                                                                <w:bottom w:val="none" w:sz="0" w:space="0" w:color="auto"/>
                                                                <w:right w:val="none" w:sz="0" w:space="0" w:color="auto"/>
                                                              </w:divBdr>
                                                            </w:div>
                                                          </w:divsChild>
                                                        </w:div>
                                                        <w:div w:id="1992631894">
                                                          <w:marLeft w:val="0"/>
                                                          <w:marRight w:val="0"/>
                                                          <w:marTop w:val="0"/>
                                                          <w:marBottom w:val="0"/>
                                                          <w:divBdr>
                                                            <w:top w:val="none" w:sz="0" w:space="0" w:color="auto"/>
                                                            <w:left w:val="none" w:sz="0" w:space="0" w:color="auto"/>
                                                            <w:bottom w:val="none" w:sz="0" w:space="0" w:color="auto"/>
                                                            <w:right w:val="none" w:sz="0" w:space="0" w:color="auto"/>
                                                          </w:divBdr>
                                                          <w:divsChild>
                                                            <w:div w:id="1226062191">
                                                              <w:marLeft w:val="0"/>
                                                              <w:marRight w:val="0"/>
                                                              <w:marTop w:val="0"/>
                                                              <w:marBottom w:val="0"/>
                                                              <w:divBdr>
                                                                <w:top w:val="none" w:sz="0" w:space="0" w:color="auto"/>
                                                                <w:left w:val="none" w:sz="0" w:space="0" w:color="auto"/>
                                                                <w:bottom w:val="none" w:sz="0" w:space="0" w:color="auto"/>
                                                                <w:right w:val="none" w:sz="0" w:space="0" w:color="auto"/>
                                                              </w:divBdr>
                                                            </w:div>
                                                          </w:divsChild>
                                                        </w:div>
                                                        <w:div w:id="96560241">
                                                          <w:marLeft w:val="0"/>
                                                          <w:marRight w:val="0"/>
                                                          <w:marTop w:val="0"/>
                                                          <w:marBottom w:val="0"/>
                                                          <w:divBdr>
                                                            <w:top w:val="none" w:sz="0" w:space="0" w:color="auto"/>
                                                            <w:left w:val="none" w:sz="0" w:space="0" w:color="auto"/>
                                                            <w:bottom w:val="none" w:sz="0" w:space="0" w:color="auto"/>
                                                            <w:right w:val="none" w:sz="0" w:space="0" w:color="auto"/>
                                                          </w:divBdr>
                                                          <w:divsChild>
                                                            <w:div w:id="13014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978296">
                                      <w:marLeft w:val="0"/>
                                      <w:marRight w:val="0"/>
                                      <w:marTop w:val="0"/>
                                      <w:marBottom w:val="0"/>
                                      <w:divBdr>
                                        <w:top w:val="none" w:sz="0" w:space="0" w:color="auto"/>
                                        <w:left w:val="none" w:sz="0" w:space="0" w:color="auto"/>
                                        <w:bottom w:val="none" w:sz="0" w:space="0" w:color="auto"/>
                                        <w:right w:val="none" w:sz="0" w:space="0" w:color="auto"/>
                                      </w:divBdr>
                                      <w:divsChild>
                                        <w:div w:id="1538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1858">
          <w:marLeft w:val="0"/>
          <w:marRight w:val="0"/>
          <w:marTop w:val="0"/>
          <w:marBottom w:val="0"/>
          <w:divBdr>
            <w:top w:val="none" w:sz="0" w:space="0" w:color="auto"/>
            <w:left w:val="none" w:sz="0" w:space="0" w:color="auto"/>
            <w:bottom w:val="none" w:sz="0" w:space="0" w:color="auto"/>
            <w:right w:val="none" w:sz="0" w:space="0" w:color="auto"/>
          </w:divBdr>
          <w:divsChild>
            <w:div w:id="2011986029">
              <w:marLeft w:val="0"/>
              <w:marRight w:val="0"/>
              <w:marTop w:val="0"/>
              <w:marBottom w:val="0"/>
              <w:divBdr>
                <w:top w:val="none" w:sz="0" w:space="0" w:color="auto"/>
                <w:left w:val="none" w:sz="0" w:space="0" w:color="auto"/>
                <w:bottom w:val="none" w:sz="0" w:space="0" w:color="auto"/>
                <w:right w:val="none" w:sz="0" w:space="0" w:color="auto"/>
              </w:divBdr>
              <w:divsChild>
                <w:div w:id="1652294726">
                  <w:marLeft w:val="0"/>
                  <w:marRight w:val="0"/>
                  <w:marTop w:val="0"/>
                  <w:marBottom w:val="0"/>
                  <w:divBdr>
                    <w:top w:val="none" w:sz="0" w:space="0" w:color="auto"/>
                    <w:left w:val="none" w:sz="0" w:space="0" w:color="auto"/>
                    <w:bottom w:val="none" w:sz="0" w:space="0" w:color="auto"/>
                    <w:right w:val="none" w:sz="0" w:space="0" w:color="auto"/>
                  </w:divBdr>
                  <w:divsChild>
                    <w:div w:id="1592158064">
                      <w:marLeft w:val="0"/>
                      <w:marRight w:val="0"/>
                      <w:marTop w:val="0"/>
                      <w:marBottom w:val="0"/>
                      <w:divBdr>
                        <w:top w:val="none" w:sz="0" w:space="0" w:color="auto"/>
                        <w:left w:val="none" w:sz="0" w:space="0" w:color="auto"/>
                        <w:bottom w:val="none" w:sz="0" w:space="0" w:color="auto"/>
                        <w:right w:val="none" w:sz="0" w:space="0" w:color="auto"/>
                      </w:divBdr>
                      <w:divsChild>
                        <w:div w:id="726416744">
                          <w:marLeft w:val="0"/>
                          <w:marRight w:val="0"/>
                          <w:marTop w:val="0"/>
                          <w:marBottom w:val="0"/>
                          <w:divBdr>
                            <w:top w:val="none" w:sz="0" w:space="0" w:color="auto"/>
                            <w:left w:val="none" w:sz="0" w:space="0" w:color="auto"/>
                            <w:bottom w:val="none" w:sz="0" w:space="0" w:color="auto"/>
                            <w:right w:val="none" w:sz="0" w:space="0" w:color="auto"/>
                          </w:divBdr>
                          <w:divsChild>
                            <w:div w:id="571426885">
                              <w:marLeft w:val="0"/>
                              <w:marRight w:val="0"/>
                              <w:marTop w:val="0"/>
                              <w:marBottom w:val="0"/>
                              <w:divBdr>
                                <w:top w:val="none" w:sz="0" w:space="0" w:color="auto"/>
                                <w:left w:val="none" w:sz="0" w:space="0" w:color="auto"/>
                                <w:bottom w:val="none" w:sz="0" w:space="0" w:color="auto"/>
                                <w:right w:val="none" w:sz="0" w:space="0" w:color="auto"/>
                              </w:divBdr>
                              <w:divsChild>
                                <w:div w:id="2066904146">
                                  <w:marLeft w:val="0"/>
                                  <w:marRight w:val="0"/>
                                  <w:marTop w:val="0"/>
                                  <w:marBottom w:val="0"/>
                                  <w:divBdr>
                                    <w:top w:val="none" w:sz="0" w:space="0" w:color="auto"/>
                                    <w:left w:val="none" w:sz="0" w:space="0" w:color="auto"/>
                                    <w:bottom w:val="none" w:sz="0" w:space="0" w:color="auto"/>
                                    <w:right w:val="none" w:sz="0" w:space="0" w:color="auto"/>
                                  </w:divBdr>
                                  <w:divsChild>
                                    <w:div w:id="1862431020">
                                      <w:marLeft w:val="0"/>
                                      <w:marRight w:val="0"/>
                                      <w:marTop w:val="0"/>
                                      <w:marBottom w:val="0"/>
                                      <w:divBdr>
                                        <w:top w:val="none" w:sz="0" w:space="0" w:color="auto"/>
                                        <w:left w:val="none" w:sz="0" w:space="0" w:color="auto"/>
                                        <w:bottom w:val="none" w:sz="0" w:space="0" w:color="auto"/>
                                        <w:right w:val="none" w:sz="0" w:space="0" w:color="auto"/>
                                      </w:divBdr>
                                      <w:divsChild>
                                        <w:div w:id="330914195">
                                          <w:marLeft w:val="0"/>
                                          <w:marRight w:val="0"/>
                                          <w:marTop w:val="0"/>
                                          <w:marBottom w:val="0"/>
                                          <w:divBdr>
                                            <w:top w:val="none" w:sz="0" w:space="0" w:color="auto"/>
                                            <w:left w:val="none" w:sz="0" w:space="0" w:color="auto"/>
                                            <w:bottom w:val="none" w:sz="0" w:space="0" w:color="auto"/>
                                            <w:right w:val="none" w:sz="0" w:space="0" w:color="auto"/>
                                          </w:divBdr>
                                          <w:divsChild>
                                            <w:div w:id="873155266">
                                              <w:marLeft w:val="0"/>
                                              <w:marRight w:val="0"/>
                                              <w:marTop w:val="0"/>
                                              <w:marBottom w:val="0"/>
                                              <w:divBdr>
                                                <w:top w:val="none" w:sz="0" w:space="0" w:color="auto"/>
                                                <w:left w:val="none" w:sz="0" w:space="0" w:color="auto"/>
                                                <w:bottom w:val="none" w:sz="0" w:space="0" w:color="auto"/>
                                                <w:right w:val="none" w:sz="0" w:space="0" w:color="auto"/>
                                              </w:divBdr>
                                              <w:divsChild>
                                                <w:div w:id="2053848420">
                                                  <w:marLeft w:val="0"/>
                                                  <w:marRight w:val="0"/>
                                                  <w:marTop w:val="0"/>
                                                  <w:marBottom w:val="0"/>
                                                  <w:divBdr>
                                                    <w:top w:val="none" w:sz="0" w:space="0" w:color="auto"/>
                                                    <w:left w:val="none" w:sz="0" w:space="0" w:color="auto"/>
                                                    <w:bottom w:val="none" w:sz="0" w:space="0" w:color="auto"/>
                                                    <w:right w:val="none" w:sz="0" w:space="0" w:color="auto"/>
                                                  </w:divBdr>
                                                  <w:divsChild>
                                                    <w:div w:id="328406568">
                                                      <w:marLeft w:val="0"/>
                                                      <w:marRight w:val="0"/>
                                                      <w:marTop w:val="0"/>
                                                      <w:marBottom w:val="0"/>
                                                      <w:divBdr>
                                                        <w:top w:val="none" w:sz="0" w:space="0" w:color="auto"/>
                                                        <w:left w:val="none" w:sz="0" w:space="0" w:color="auto"/>
                                                        <w:bottom w:val="none" w:sz="0" w:space="0" w:color="auto"/>
                                                        <w:right w:val="none" w:sz="0" w:space="0" w:color="auto"/>
                                                      </w:divBdr>
                                                      <w:divsChild>
                                                        <w:div w:id="513761017">
                                                          <w:marLeft w:val="0"/>
                                                          <w:marRight w:val="0"/>
                                                          <w:marTop w:val="0"/>
                                                          <w:marBottom w:val="0"/>
                                                          <w:divBdr>
                                                            <w:top w:val="none" w:sz="0" w:space="0" w:color="auto"/>
                                                            <w:left w:val="none" w:sz="0" w:space="0" w:color="auto"/>
                                                            <w:bottom w:val="none" w:sz="0" w:space="0" w:color="auto"/>
                                                            <w:right w:val="none" w:sz="0" w:space="0" w:color="auto"/>
                                                          </w:divBdr>
                                                          <w:divsChild>
                                                            <w:div w:id="30107175">
                                                              <w:marLeft w:val="0"/>
                                                              <w:marRight w:val="0"/>
                                                              <w:marTop w:val="0"/>
                                                              <w:marBottom w:val="0"/>
                                                              <w:divBdr>
                                                                <w:top w:val="none" w:sz="0" w:space="0" w:color="auto"/>
                                                                <w:left w:val="none" w:sz="0" w:space="0" w:color="auto"/>
                                                                <w:bottom w:val="none" w:sz="0" w:space="0" w:color="auto"/>
                                                                <w:right w:val="none" w:sz="0" w:space="0" w:color="auto"/>
                                                              </w:divBdr>
                                                              <w:divsChild>
                                                                <w:div w:id="2755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756369">
                                      <w:marLeft w:val="0"/>
                                      <w:marRight w:val="0"/>
                                      <w:marTop w:val="0"/>
                                      <w:marBottom w:val="0"/>
                                      <w:divBdr>
                                        <w:top w:val="none" w:sz="0" w:space="0" w:color="auto"/>
                                        <w:left w:val="none" w:sz="0" w:space="0" w:color="auto"/>
                                        <w:bottom w:val="none" w:sz="0" w:space="0" w:color="auto"/>
                                        <w:right w:val="none" w:sz="0" w:space="0" w:color="auto"/>
                                      </w:divBdr>
                                      <w:divsChild>
                                        <w:div w:id="1164782295">
                                          <w:marLeft w:val="0"/>
                                          <w:marRight w:val="0"/>
                                          <w:marTop w:val="0"/>
                                          <w:marBottom w:val="0"/>
                                          <w:divBdr>
                                            <w:top w:val="none" w:sz="0" w:space="0" w:color="auto"/>
                                            <w:left w:val="none" w:sz="0" w:space="0" w:color="auto"/>
                                            <w:bottom w:val="none" w:sz="0" w:space="0" w:color="auto"/>
                                            <w:right w:val="none" w:sz="0" w:space="0" w:color="auto"/>
                                          </w:divBdr>
                                          <w:divsChild>
                                            <w:div w:id="15681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070094">
              <w:marLeft w:val="0"/>
              <w:marRight w:val="0"/>
              <w:marTop w:val="0"/>
              <w:marBottom w:val="0"/>
              <w:divBdr>
                <w:top w:val="none" w:sz="0" w:space="0" w:color="auto"/>
                <w:left w:val="none" w:sz="0" w:space="0" w:color="auto"/>
                <w:bottom w:val="none" w:sz="0" w:space="0" w:color="auto"/>
                <w:right w:val="none" w:sz="0" w:space="0" w:color="auto"/>
              </w:divBdr>
              <w:divsChild>
                <w:div w:id="5074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66456">
      <w:bodyDiv w:val="1"/>
      <w:marLeft w:val="0"/>
      <w:marRight w:val="0"/>
      <w:marTop w:val="0"/>
      <w:marBottom w:val="0"/>
      <w:divBdr>
        <w:top w:val="none" w:sz="0" w:space="0" w:color="auto"/>
        <w:left w:val="none" w:sz="0" w:space="0" w:color="auto"/>
        <w:bottom w:val="none" w:sz="0" w:space="0" w:color="auto"/>
        <w:right w:val="none" w:sz="0" w:space="0" w:color="auto"/>
      </w:divBdr>
      <w:divsChild>
        <w:div w:id="344938240">
          <w:marLeft w:val="0"/>
          <w:marRight w:val="0"/>
          <w:marTop w:val="0"/>
          <w:marBottom w:val="0"/>
          <w:divBdr>
            <w:top w:val="none" w:sz="0" w:space="0" w:color="auto"/>
            <w:left w:val="none" w:sz="0" w:space="0" w:color="auto"/>
            <w:bottom w:val="none" w:sz="0" w:space="0" w:color="auto"/>
            <w:right w:val="none" w:sz="0" w:space="0" w:color="auto"/>
          </w:divBdr>
          <w:divsChild>
            <w:div w:id="1174494438">
              <w:marLeft w:val="0"/>
              <w:marRight w:val="0"/>
              <w:marTop w:val="0"/>
              <w:marBottom w:val="0"/>
              <w:divBdr>
                <w:top w:val="none" w:sz="0" w:space="0" w:color="auto"/>
                <w:left w:val="none" w:sz="0" w:space="0" w:color="auto"/>
                <w:bottom w:val="none" w:sz="0" w:space="0" w:color="auto"/>
                <w:right w:val="none" w:sz="0" w:space="0" w:color="auto"/>
              </w:divBdr>
            </w:div>
          </w:divsChild>
        </w:div>
        <w:div w:id="435447546">
          <w:marLeft w:val="0"/>
          <w:marRight w:val="0"/>
          <w:marTop w:val="0"/>
          <w:marBottom w:val="0"/>
          <w:divBdr>
            <w:top w:val="none" w:sz="0" w:space="0" w:color="auto"/>
            <w:left w:val="none" w:sz="0" w:space="0" w:color="auto"/>
            <w:bottom w:val="none" w:sz="0" w:space="0" w:color="auto"/>
            <w:right w:val="none" w:sz="0" w:space="0" w:color="auto"/>
          </w:divBdr>
          <w:divsChild>
            <w:div w:id="1999114625">
              <w:marLeft w:val="0"/>
              <w:marRight w:val="0"/>
              <w:marTop w:val="0"/>
              <w:marBottom w:val="0"/>
              <w:divBdr>
                <w:top w:val="none" w:sz="0" w:space="0" w:color="auto"/>
                <w:left w:val="none" w:sz="0" w:space="0" w:color="auto"/>
                <w:bottom w:val="none" w:sz="0" w:space="0" w:color="auto"/>
                <w:right w:val="none" w:sz="0" w:space="0" w:color="auto"/>
              </w:divBdr>
            </w:div>
          </w:divsChild>
        </w:div>
        <w:div w:id="808328196">
          <w:marLeft w:val="0"/>
          <w:marRight w:val="0"/>
          <w:marTop w:val="0"/>
          <w:marBottom w:val="0"/>
          <w:divBdr>
            <w:top w:val="none" w:sz="0" w:space="0" w:color="auto"/>
            <w:left w:val="none" w:sz="0" w:space="0" w:color="auto"/>
            <w:bottom w:val="none" w:sz="0" w:space="0" w:color="auto"/>
            <w:right w:val="none" w:sz="0" w:space="0" w:color="auto"/>
          </w:divBdr>
          <w:divsChild>
            <w:div w:id="11095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5879">
      <w:bodyDiv w:val="1"/>
      <w:marLeft w:val="0"/>
      <w:marRight w:val="0"/>
      <w:marTop w:val="0"/>
      <w:marBottom w:val="0"/>
      <w:divBdr>
        <w:top w:val="none" w:sz="0" w:space="0" w:color="auto"/>
        <w:left w:val="none" w:sz="0" w:space="0" w:color="auto"/>
        <w:bottom w:val="none" w:sz="0" w:space="0" w:color="auto"/>
        <w:right w:val="none" w:sz="0" w:space="0" w:color="auto"/>
      </w:divBdr>
      <w:divsChild>
        <w:div w:id="495800487">
          <w:marLeft w:val="0"/>
          <w:marRight w:val="0"/>
          <w:marTop w:val="0"/>
          <w:marBottom w:val="0"/>
          <w:divBdr>
            <w:top w:val="none" w:sz="0" w:space="0" w:color="auto"/>
            <w:left w:val="none" w:sz="0" w:space="0" w:color="auto"/>
            <w:bottom w:val="none" w:sz="0" w:space="0" w:color="auto"/>
            <w:right w:val="none" w:sz="0" w:space="0" w:color="auto"/>
          </w:divBdr>
          <w:divsChild>
            <w:div w:id="575166588">
              <w:marLeft w:val="0"/>
              <w:marRight w:val="0"/>
              <w:marTop w:val="0"/>
              <w:marBottom w:val="0"/>
              <w:divBdr>
                <w:top w:val="none" w:sz="0" w:space="0" w:color="auto"/>
                <w:left w:val="none" w:sz="0" w:space="0" w:color="auto"/>
                <w:bottom w:val="none" w:sz="0" w:space="0" w:color="auto"/>
                <w:right w:val="none" w:sz="0" w:space="0" w:color="auto"/>
              </w:divBdr>
            </w:div>
          </w:divsChild>
        </w:div>
        <w:div w:id="76513239">
          <w:marLeft w:val="0"/>
          <w:marRight w:val="0"/>
          <w:marTop w:val="0"/>
          <w:marBottom w:val="0"/>
          <w:divBdr>
            <w:top w:val="none" w:sz="0" w:space="0" w:color="auto"/>
            <w:left w:val="none" w:sz="0" w:space="0" w:color="auto"/>
            <w:bottom w:val="none" w:sz="0" w:space="0" w:color="auto"/>
            <w:right w:val="none" w:sz="0" w:space="0" w:color="auto"/>
          </w:divBdr>
          <w:divsChild>
            <w:div w:id="1470781553">
              <w:marLeft w:val="0"/>
              <w:marRight w:val="0"/>
              <w:marTop w:val="0"/>
              <w:marBottom w:val="0"/>
              <w:divBdr>
                <w:top w:val="none" w:sz="0" w:space="0" w:color="auto"/>
                <w:left w:val="none" w:sz="0" w:space="0" w:color="auto"/>
                <w:bottom w:val="none" w:sz="0" w:space="0" w:color="auto"/>
                <w:right w:val="none" w:sz="0" w:space="0" w:color="auto"/>
              </w:divBdr>
            </w:div>
          </w:divsChild>
        </w:div>
        <w:div w:id="542835427">
          <w:marLeft w:val="0"/>
          <w:marRight w:val="0"/>
          <w:marTop w:val="0"/>
          <w:marBottom w:val="0"/>
          <w:divBdr>
            <w:top w:val="none" w:sz="0" w:space="0" w:color="auto"/>
            <w:left w:val="none" w:sz="0" w:space="0" w:color="auto"/>
            <w:bottom w:val="none" w:sz="0" w:space="0" w:color="auto"/>
            <w:right w:val="none" w:sz="0" w:space="0" w:color="auto"/>
          </w:divBdr>
          <w:divsChild>
            <w:div w:id="1880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4314">
      <w:bodyDiv w:val="1"/>
      <w:marLeft w:val="0"/>
      <w:marRight w:val="0"/>
      <w:marTop w:val="0"/>
      <w:marBottom w:val="0"/>
      <w:divBdr>
        <w:top w:val="none" w:sz="0" w:space="0" w:color="auto"/>
        <w:left w:val="none" w:sz="0" w:space="0" w:color="auto"/>
        <w:bottom w:val="none" w:sz="0" w:space="0" w:color="auto"/>
        <w:right w:val="none" w:sz="0" w:space="0" w:color="auto"/>
      </w:divBdr>
    </w:div>
    <w:div w:id="1958679874">
      <w:bodyDiv w:val="1"/>
      <w:marLeft w:val="0"/>
      <w:marRight w:val="0"/>
      <w:marTop w:val="0"/>
      <w:marBottom w:val="0"/>
      <w:divBdr>
        <w:top w:val="none" w:sz="0" w:space="0" w:color="auto"/>
        <w:left w:val="none" w:sz="0" w:space="0" w:color="auto"/>
        <w:bottom w:val="none" w:sz="0" w:space="0" w:color="auto"/>
        <w:right w:val="none" w:sz="0" w:space="0" w:color="auto"/>
      </w:divBdr>
      <w:divsChild>
        <w:div w:id="1712076755">
          <w:marLeft w:val="0"/>
          <w:marRight w:val="0"/>
          <w:marTop w:val="0"/>
          <w:marBottom w:val="0"/>
          <w:divBdr>
            <w:top w:val="none" w:sz="0" w:space="0" w:color="auto"/>
            <w:left w:val="none" w:sz="0" w:space="0" w:color="auto"/>
            <w:bottom w:val="none" w:sz="0" w:space="0" w:color="auto"/>
            <w:right w:val="none" w:sz="0" w:space="0" w:color="auto"/>
          </w:divBdr>
          <w:divsChild>
            <w:div w:id="488524341">
              <w:marLeft w:val="0"/>
              <w:marRight w:val="0"/>
              <w:marTop w:val="0"/>
              <w:marBottom w:val="0"/>
              <w:divBdr>
                <w:top w:val="none" w:sz="0" w:space="0" w:color="auto"/>
                <w:left w:val="none" w:sz="0" w:space="0" w:color="auto"/>
                <w:bottom w:val="none" w:sz="0" w:space="0" w:color="auto"/>
                <w:right w:val="none" w:sz="0" w:space="0" w:color="auto"/>
              </w:divBdr>
            </w:div>
          </w:divsChild>
        </w:div>
        <w:div w:id="12610700">
          <w:marLeft w:val="0"/>
          <w:marRight w:val="0"/>
          <w:marTop w:val="0"/>
          <w:marBottom w:val="0"/>
          <w:divBdr>
            <w:top w:val="none" w:sz="0" w:space="0" w:color="auto"/>
            <w:left w:val="none" w:sz="0" w:space="0" w:color="auto"/>
            <w:bottom w:val="none" w:sz="0" w:space="0" w:color="auto"/>
            <w:right w:val="none" w:sz="0" w:space="0" w:color="auto"/>
          </w:divBdr>
          <w:divsChild>
            <w:div w:id="1293638766">
              <w:marLeft w:val="0"/>
              <w:marRight w:val="0"/>
              <w:marTop w:val="0"/>
              <w:marBottom w:val="0"/>
              <w:divBdr>
                <w:top w:val="none" w:sz="0" w:space="0" w:color="auto"/>
                <w:left w:val="none" w:sz="0" w:space="0" w:color="auto"/>
                <w:bottom w:val="none" w:sz="0" w:space="0" w:color="auto"/>
                <w:right w:val="none" w:sz="0" w:space="0" w:color="auto"/>
              </w:divBdr>
            </w:div>
          </w:divsChild>
        </w:div>
        <w:div w:id="511797216">
          <w:marLeft w:val="0"/>
          <w:marRight w:val="0"/>
          <w:marTop w:val="0"/>
          <w:marBottom w:val="0"/>
          <w:divBdr>
            <w:top w:val="none" w:sz="0" w:space="0" w:color="auto"/>
            <w:left w:val="none" w:sz="0" w:space="0" w:color="auto"/>
            <w:bottom w:val="none" w:sz="0" w:space="0" w:color="auto"/>
            <w:right w:val="none" w:sz="0" w:space="0" w:color="auto"/>
          </w:divBdr>
          <w:divsChild>
            <w:div w:id="4866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6089">
      <w:bodyDiv w:val="1"/>
      <w:marLeft w:val="0"/>
      <w:marRight w:val="0"/>
      <w:marTop w:val="0"/>
      <w:marBottom w:val="0"/>
      <w:divBdr>
        <w:top w:val="none" w:sz="0" w:space="0" w:color="auto"/>
        <w:left w:val="none" w:sz="0" w:space="0" w:color="auto"/>
        <w:bottom w:val="none" w:sz="0" w:space="0" w:color="auto"/>
        <w:right w:val="none" w:sz="0" w:space="0" w:color="auto"/>
      </w:divBdr>
      <w:divsChild>
        <w:div w:id="1479227256">
          <w:marLeft w:val="0"/>
          <w:marRight w:val="0"/>
          <w:marTop w:val="0"/>
          <w:marBottom w:val="0"/>
          <w:divBdr>
            <w:top w:val="none" w:sz="0" w:space="0" w:color="auto"/>
            <w:left w:val="none" w:sz="0" w:space="0" w:color="auto"/>
            <w:bottom w:val="none" w:sz="0" w:space="0" w:color="auto"/>
            <w:right w:val="none" w:sz="0" w:space="0" w:color="auto"/>
          </w:divBdr>
          <w:divsChild>
            <w:div w:id="451825568">
              <w:marLeft w:val="0"/>
              <w:marRight w:val="0"/>
              <w:marTop w:val="0"/>
              <w:marBottom w:val="0"/>
              <w:divBdr>
                <w:top w:val="none" w:sz="0" w:space="0" w:color="auto"/>
                <w:left w:val="none" w:sz="0" w:space="0" w:color="auto"/>
                <w:bottom w:val="none" w:sz="0" w:space="0" w:color="auto"/>
                <w:right w:val="none" w:sz="0" w:space="0" w:color="auto"/>
              </w:divBdr>
            </w:div>
          </w:divsChild>
        </w:div>
        <w:div w:id="317391816">
          <w:marLeft w:val="0"/>
          <w:marRight w:val="0"/>
          <w:marTop w:val="0"/>
          <w:marBottom w:val="0"/>
          <w:divBdr>
            <w:top w:val="none" w:sz="0" w:space="0" w:color="auto"/>
            <w:left w:val="none" w:sz="0" w:space="0" w:color="auto"/>
            <w:bottom w:val="none" w:sz="0" w:space="0" w:color="auto"/>
            <w:right w:val="none" w:sz="0" w:space="0" w:color="auto"/>
          </w:divBdr>
          <w:divsChild>
            <w:div w:id="1436175009">
              <w:marLeft w:val="0"/>
              <w:marRight w:val="0"/>
              <w:marTop w:val="0"/>
              <w:marBottom w:val="0"/>
              <w:divBdr>
                <w:top w:val="none" w:sz="0" w:space="0" w:color="auto"/>
                <w:left w:val="none" w:sz="0" w:space="0" w:color="auto"/>
                <w:bottom w:val="none" w:sz="0" w:space="0" w:color="auto"/>
                <w:right w:val="none" w:sz="0" w:space="0" w:color="auto"/>
              </w:divBdr>
            </w:div>
          </w:divsChild>
        </w:div>
        <w:div w:id="1241863497">
          <w:marLeft w:val="0"/>
          <w:marRight w:val="0"/>
          <w:marTop w:val="0"/>
          <w:marBottom w:val="0"/>
          <w:divBdr>
            <w:top w:val="none" w:sz="0" w:space="0" w:color="auto"/>
            <w:left w:val="none" w:sz="0" w:space="0" w:color="auto"/>
            <w:bottom w:val="none" w:sz="0" w:space="0" w:color="auto"/>
            <w:right w:val="none" w:sz="0" w:space="0" w:color="auto"/>
          </w:divBdr>
          <w:divsChild>
            <w:div w:id="8317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203">
      <w:bodyDiv w:val="1"/>
      <w:marLeft w:val="0"/>
      <w:marRight w:val="0"/>
      <w:marTop w:val="0"/>
      <w:marBottom w:val="0"/>
      <w:divBdr>
        <w:top w:val="none" w:sz="0" w:space="0" w:color="auto"/>
        <w:left w:val="none" w:sz="0" w:space="0" w:color="auto"/>
        <w:bottom w:val="none" w:sz="0" w:space="0" w:color="auto"/>
        <w:right w:val="none" w:sz="0" w:space="0" w:color="auto"/>
      </w:divBdr>
      <w:divsChild>
        <w:div w:id="865875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24</Pages>
  <Words>6073</Words>
  <Characters>34619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banerjee</dc:creator>
  <cp:keywords/>
  <dc:description/>
  <cp:lastModifiedBy>rishika banerjee</cp:lastModifiedBy>
  <cp:revision>1</cp:revision>
  <dcterms:created xsi:type="dcterms:W3CDTF">2025-07-03T05:59:00Z</dcterms:created>
  <dcterms:modified xsi:type="dcterms:W3CDTF">2025-07-03T06:19:00Z</dcterms:modified>
</cp:coreProperties>
</file>