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Global Renewable Market Attractiveness Rankings</w:t>
      </w:r>
    </w:p>
    <w:p>
      <w:pPr>
        <w:pStyle w:val="Title"/>
      </w:pPr>
      <w:r>
        <w:t xml:space="preserve">Parameter Definitions &amp; Weighting Structure</w:t>
      </w:r>
    </w:p>
    <w:p>
      <w:r>
        <w:t xml:space="preserve"/>
      </w:r>
    </w:p>
    <w:p>
      <w:r>
        <w:br w:type="page"/>
      </w:r>
    </w:p>
    <w:p>
      <w:pPr>
        <w:pStyle w:val="Heading1"/>
      </w:pPr>
      <w:r>
        <w:t xml:space="preserve">1. Overview</w:t>
      </w:r>
    </w:p>
    <w:p>
      <w:r>
        <w:t xml:space="preserve">This document defines the parameters and weighting structure used in the Global Renewable Market Attractiveness Rankings. The ranking system evaluates renewable energy investment opportunities across markets using 18 parameters organized into 7 subcategories.</w:t>
      </w:r>
    </w:p>
    <w:p>
      <w:r>
        <w:t xml:space="preserve"/>
      </w:r>
    </w:p>
    <w:p>
      <w:r>
        <w:t xml:space="preserve">The scores are indexed to the total size of the power market (in terawatt hours), with larger power markets being scored as more attractive. The score provides an indication of the possible opportunity size for renewable energy.</w:t>
      </w:r>
    </w:p>
    <w:p>
      <w:r>
        <w:t xml:space="preserve"/>
      </w:r>
    </w:p>
    <w:p>
      <w:pPr>
        <w:pStyle w:val="Heading1"/>
      </w:pPr>
      <w:r>
        <w:t xml:space="preserve">2. Subcategory Weights in Final Score</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Subcategory</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Weight</w:t>
            </w:r>
          </w:p>
        </w:tc>
      </w:tr>
      <w:tr>
        <w:tc>
          <w:tcPr>
            <w:tcW w:type="dxa" w:w="4680"/>
            <w:tcBorders>
              <w:top w:val="single" w:color="CCCCCC" w:sz="1"/>
              <w:left w:val="single" w:color="CCCCCC" w:sz="1"/>
              <w:bottom w:val="single" w:color="CCCCCC" w:sz="1"/>
              <w:right w:val="single" w:color="CCCCCC" w:sz="1"/>
            </w:tcBorders>
          </w:tcPr>
          <w:p>
            <w:r>
              <w:t xml:space="preserve">Competition</w:t>
            </w:r>
          </w:p>
        </w:tc>
        <w:tc>
          <w:tcPr>
            <w:tcW w:type="dxa" w:w="4680"/>
            <w:tcBorders>
              <w:top w:val="single" w:color="CCCCCC" w:sz="1"/>
              <w:left w:val="single" w:color="CCCCCC" w:sz="1"/>
              <w:bottom w:val="single" w:color="CCCCCC" w:sz="1"/>
              <w:right w:val="single" w:color="CCCCCC" w:sz="1"/>
            </w:tcBorders>
          </w:tcPr>
          <w:p>
            <w:pPr>
              <w:jc w:val="center"/>
            </w:pPr>
            <w:r>
              <w:t xml:space="preserve">12.25%</w:t>
            </w:r>
          </w:p>
        </w:tc>
      </w:tr>
      <w:tr>
        <w:tc>
          <w:tcPr>
            <w:tcW w:type="dxa" w:w="4680"/>
            <w:tcBorders>
              <w:top w:val="single" w:color="CCCCCC" w:sz="1"/>
              <w:left w:val="single" w:color="CCCCCC" w:sz="1"/>
              <w:bottom w:val="single" w:color="CCCCCC" w:sz="1"/>
              <w:right w:val="single" w:color="CCCCCC" w:sz="1"/>
            </w:tcBorders>
          </w:tcPr>
          <w:p>
            <w:r>
              <w:t xml:space="preserve">Accommodation</w:t>
            </w:r>
          </w:p>
        </w:tc>
        <w:tc>
          <w:tcPr>
            <w:tcW w:type="dxa" w:w="4680"/>
            <w:tcBorders>
              <w:top w:val="single" w:color="CCCCCC" w:sz="1"/>
              <w:left w:val="single" w:color="CCCCCC" w:sz="1"/>
              <w:bottom w:val="single" w:color="CCCCCC" w:sz="1"/>
              <w:right w:val="single" w:color="CCCCCC" w:sz="1"/>
            </w:tcBorders>
          </w:tcPr>
          <w:p>
            <w:pPr>
              <w:jc w:val="center"/>
            </w:pPr>
            <w:r>
              <w:t xml:space="preserve">12.25%</w:t>
            </w:r>
          </w:p>
        </w:tc>
      </w:tr>
      <w:tr>
        <w:tc>
          <w:tcPr>
            <w:tcW w:type="dxa" w:w="4680"/>
            <w:tcBorders>
              <w:top w:val="single" w:color="CCCCCC" w:sz="1"/>
              <w:left w:val="single" w:color="CCCCCC" w:sz="1"/>
              <w:bottom w:val="single" w:color="CCCCCC" w:sz="1"/>
              <w:right w:val="single" w:color="CCCCCC" w:sz="1"/>
            </w:tcBorders>
          </w:tcPr>
          <w:p>
            <w:r>
              <w:t xml:space="preserve">Ease of business</w:t>
            </w:r>
          </w:p>
        </w:tc>
        <w:tc>
          <w:tcPr>
            <w:tcW w:type="dxa" w:w="4680"/>
            <w:tcBorders>
              <w:top w:val="single" w:color="CCCCCC" w:sz="1"/>
              <w:left w:val="single" w:color="CCCCCC" w:sz="1"/>
              <w:bottom w:val="single" w:color="CCCCCC" w:sz="1"/>
              <w:right w:val="single" w:color="CCCCCC" w:sz="1"/>
            </w:tcBorders>
          </w:tcPr>
          <w:p>
            <w:pPr>
              <w:jc w:val="center"/>
            </w:pPr>
            <w:r>
              <w:t xml:space="preserve">17%</w:t>
            </w:r>
          </w:p>
        </w:tc>
      </w:tr>
      <w:tr>
        <w:tc>
          <w:tcPr>
            <w:tcW w:type="dxa" w:w="4680"/>
            <w:tcBorders>
              <w:top w:val="single" w:color="CCCCCC" w:sz="1"/>
              <w:left w:val="single" w:color="CCCCCC" w:sz="1"/>
              <w:bottom w:val="single" w:color="CCCCCC" w:sz="1"/>
              <w:right w:val="single" w:color="CCCCCC" w:sz="1"/>
            </w:tcBorders>
          </w:tcPr>
          <w:p>
            <w:r>
              <w:t xml:space="preserve">Regulation</w:t>
            </w:r>
          </w:p>
        </w:tc>
        <w:tc>
          <w:tcPr>
            <w:tcW w:type="dxa" w:w="4680"/>
            <w:tcBorders>
              <w:top w:val="single" w:color="CCCCCC" w:sz="1"/>
              <w:left w:val="single" w:color="CCCCCC" w:sz="1"/>
              <w:bottom w:val="single" w:color="CCCCCC" w:sz="1"/>
              <w:right w:val="single" w:color="CCCCCC" w:sz="1"/>
            </w:tcBorders>
          </w:tcPr>
          <w:p>
            <w:pPr>
              <w:jc w:val="center"/>
            </w:pPr>
            <w:r>
              <w:t xml:space="preserve">17%</w:t>
            </w:r>
          </w:p>
        </w:tc>
      </w:tr>
      <w:tr>
        <w:tc>
          <w:tcPr>
            <w:tcW w:type="dxa" w:w="4680"/>
            <w:tcBorders>
              <w:top w:val="single" w:color="CCCCCC" w:sz="1"/>
              <w:left w:val="single" w:color="CCCCCC" w:sz="1"/>
              <w:bottom w:val="single" w:color="CCCCCC" w:sz="1"/>
              <w:right w:val="single" w:color="CCCCCC" w:sz="1"/>
            </w:tcBorders>
          </w:tcPr>
          <w:p>
            <w:r>
              <w:t xml:space="preserve">Fundamentals</w:t>
            </w:r>
          </w:p>
        </w:tc>
        <w:tc>
          <w:tcPr>
            <w:tcW w:type="dxa" w:w="4680"/>
            <w:tcBorders>
              <w:top w:val="single" w:color="CCCCCC" w:sz="1"/>
              <w:left w:val="single" w:color="CCCCCC" w:sz="1"/>
              <w:bottom w:val="single" w:color="CCCCCC" w:sz="1"/>
              <w:right w:val="single" w:color="CCCCCC" w:sz="1"/>
            </w:tcBorders>
          </w:tcPr>
          <w:p>
            <w:pPr>
              <w:jc w:val="center"/>
            </w:pPr>
            <w:r>
              <w:t xml:space="preserve">12.25%</w:t>
            </w:r>
          </w:p>
        </w:tc>
      </w:tr>
      <w:tr>
        <w:tc>
          <w:tcPr>
            <w:tcW w:type="dxa" w:w="4680"/>
            <w:tcBorders>
              <w:top w:val="single" w:color="CCCCCC" w:sz="1"/>
              <w:left w:val="single" w:color="CCCCCC" w:sz="1"/>
              <w:bottom w:val="single" w:color="CCCCCC" w:sz="1"/>
              <w:right w:val="single" w:color="CCCCCC" w:sz="1"/>
            </w:tcBorders>
          </w:tcPr>
          <w:p>
            <w:r>
              <w:t xml:space="preserve">Profitability</w:t>
            </w:r>
          </w:p>
        </w:tc>
        <w:tc>
          <w:tcPr>
            <w:tcW w:type="dxa" w:w="4680"/>
            <w:tcBorders>
              <w:top w:val="single" w:color="CCCCCC" w:sz="1"/>
              <w:left w:val="single" w:color="CCCCCC" w:sz="1"/>
              <w:bottom w:val="single" w:color="CCCCCC" w:sz="1"/>
              <w:right w:val="single" w:color="CCCCCC" w:sz="1"/>
            </w:tcBorders>
          </w:tcPr>
          <w:p>
            <w:pPr>
              <w:jc w:val="center"/>
            </w:pPr>
            <w:r>
              <w:t xml:space="preserve">12.25%</w:t>
            </w:r>
          </w:p>
        </w:tc>
      </w:tr>
      <w:tr>
        <w:tc>
          <w:tcPr>
            <w:tcW w:type="dxa" w:w="4680"/>
            <w:tcBorders>
              <w:top w:val="single" w:color="CCCCCC" w:sz="1"/>
              <w:left w:val="single" w:color="CCCCCC" w:sz="1"/>
              <w:bottom w:val="single" w:color="CCCCCC" w:sz="1"/>
              <w:right w:val="single" w:color="CCCCCC" w:sz="1"/>
            </w:tcBorders>
          </w:tcPr>
          <w:p>
            <w:r>
              <w:t xml:space="preserve">Market size</w:t>
            </w:r>
          </w:p>
        </w:tc>
        <w:tc>
          <w:tcPr>
            <w:tcW w:type="dxa" w:w="4680"/>
            <w:tcBorders>
              <w:top w:val="single" w:color="CCCCCC" w:sz="1"/>
              <w:left w:val="single" w:color="CCCCCC" w:sz="1"/>
              <w:bottom w:val="single" w:color="CCCCCC" w:sz="1"/>
              <w:right w:val="single" w:color="CCCCCC" w:sz="1"/>
            </w:tcBorders>
          </w:tcPr>
          <w:p>
            <w:pPr>
              <w:jc w:val="center"/>
            </w:pPr>
            <w:r>
              <w:t xml:space="preserve">17%</w:t>
            </w:r>
          </w:p>
        </w:tc>
      </w:tr>
    </w:tbl>
    <w:p>
      <w:r>
        <w:t xml:space="preserve"/>
      </w:r>
    </w:p>
    <w:p>
      <w:r>
        <w:br w:type="page"/>
      </w:r>
    </w:p>
    <w:p>
      <w:pPr>
        <w:pStyle w:val="Heading1"/>
      </w:pPr>
      <w:r>
        <w:t xml:space="preserve">3. Parameter Weights Within Subcategories</w:t>
      </w:r>
    </w:p>
    <w:p>
      <w:r>
        <w:t xml:space="preserve"/>
      </w:r>
    </w:p>
    <w:p>
      <w:pPr>
        <w:pStyle w:val="Heading2"/>
      </w:pPr>
      <w:r>
        <w:t xml:space="preserve">3.1 Ease of Business (17%)</w:t>
      </w:r>
    </w:p>
    <w:p>
      <w:pPr>
        <w:pStyle w:val="ListParagraph"/>
        <w:numPr>
          <w:ilvl w:val="0"/>
          <w:numId w:val="2"/>
        </w:numPr>
      </w:pPr>
      <w:r>
        <w:t xml:space="preserve">Ownership hurdles: 20%</w:t>
      </w:r>
    </w:p>
    <w:p>
      <w:pPr>
        <w:pStyle w:val="ListParagraph"/>
        <w:numPr>
          <w:ilvl w:val="0"/>
          <w:numId w:val="2"/>
        </w:numPr>
      </w:pPr>
      <w:r>
        <w:t xml:space="preserve">Market stability: 40%</w:t>
      </w:r>
    </w:p>
    <w:p>
      <w:pPr>
        <w:pStyle w:val="ListParagraph"/>
        <w:numPr>
          <w:ilvl w:val="0"/>
          <w:numId w:val="2"/>
        </w:numPr>
      </w:pPr>
      <w:r>
        <w:t xml:space="preserve">Offtaker status: 20%</w:t>
      </w:r>
    </w:p>
    <w:p>
      <w:pPr>
        <w:pStyle w:val="ListParagraph"/>
        <w:numPr>
          <w:ilvl w:val="0"/>
          <w:numId w:val="2"/>
        </w:numPr>
      </w:pPr>
      <w:r>
        <w:t xml:space="preserve">Contract terms: 20%</w:t>
      </w:r>
    </w:p>
    <w:p>
      <w:r>
        <w:t xml:space="preserve"/>
      </w:r>
    </w:p>
    <w:p>
      <w:pPr>
        <w:pStyle w:val="Heading2"/>
      </w:pPr>
      <w:r>
        <w:t xml:space="preserve">3.2 Profitability (12.25%)</w:t>
      </w:r>
    </w:p>
    <w:p>
      <w:pPr>
        <w:pStyle w:val="ListParagraph"/>
        <w:numPr>
          <w:ilvl w:val="0"/>
          <w:numId w:val="2"/>
        </w:numPr>
      </w:pPr>
      <w:r>
        <w:t xml:space="preserve">Revenue stream stability: 20%</w:t>
      </w:r>
    </w:p>
    <w:p>
      <w:pPr>
        <w:pStyle w:val="ListParagraph"/>
        <w:numPr>
          <w:ilvl w:val="0"/>
          <w:numId w:val="2"/>
        </w:numPr>
      </w:pPr>
      <w:r>
        <w:t xml:space="preserve">Expected return: 40%</w:t>
      </w:r>
    </w:p>
    <w:p>
      <w:pPr>
        <w:pStyle w:val="ListParagraph"/>
        <w:numPr>
          <w:ilvl w:val="0"/>
          <w:numId w:val="2"/>
        </w:numPr>
      </w:pPr>
      <w:r>
        <w:t xml:space="preserve">Long-term interest rate: 40%</w:t>
      </w:r>
    </w:p>
    <w:p>
      <w:r>
        <w:t xml:space="preserve"/>
      </w:r>
    </w:p>
    <w:p>
      <w:pPr>
        <w:pStyle w:val="Heading2"/>
      </w:pPr>
      <w:r>
        <w:t xml:space="preserve">3.3 Market Size (17%)</w:t>
      </w:r>
    </w:p>
    <w:p>
      <w:pPr>
        <w:pStyle w:val="ListParagraph"/>
        <w:numPr>
          <w:ilvl w:val="0"/>
          <w:numId w:val="2"/>
        </w:numPr>
      </w:pPr>
      <w:r>
        <w:t xml:space="preserve">Installed capacity: 30%</w:t>
      </w:r>
    </w:p>
    <w:p>
      <w:pPr>
        <w:pStyle w:val="ListParagraph"/>
        <w:numPr>
          <w:ilvl w:val="0"/>
          <w:numId w:val="2"/>
        </w:numPr>
      </w:pPr>
      <w:r>
        <w:t xml:space="preserve">Power market size: 70%</w:t>
      </w:r>
    </w:p>
    <w:p>
      <w:r>
        <w:t xml:space="preserve"/>
      </w:r>
    </w:p>
    <w:p>
      <w:pPr>
        <w:pStyle w:val="Heading2"/>
      </w:pPr>
      <w:r>
        <w:t xml:space="preserve">3.4 Fundamentals (12.25%)</w:t>
      </w:r>
    </w:p>
    <w:p>
      <w:pPr>
        <w:pStyle w:val="ListParagraph"/>
        <w:numPr>
          <w:ilvl w:val="0"/>
          <w:numId w:val="2"/>
        </w:numPr>
      </w:pPr>
      <w:r>
        <w:t xml:space="preserve">Energy dependence: 30%</w:t>
      </w:r>
    </w:p>
    <w:p>
      <w:pPr>
        <w:pStyle w:val="ListParagraph"/>
        <w:numPr>
          <w:ilvl w:val="0"/>
          <w:numId w:val="2"/>
        </w:numPr>
      </w:pPr>
      <w:r>
        <w:t xml:space="preserve">Available resource: 70%</w:t>
      </w:r>
    </w:p>
    <w:p>
      <w:r>
        <w:t xml:space="preserve"/>
      </w:r>
    </w:p>
    <w:p>
      <w:pPr>
        <w:pStyle w:val="Heading2"/>
      </w:pPr>
      <w:r>
        <w:t xml:space="preserve">3.5 Accommodation (12.25%)</w:t>
      </w:r>
    </w:p>
    <w:p>
      <w:pPr>
        <w:pStyle w:val="ListParagraph"/>
        <w:numPr>
          <w:ilvl w:val="0"/>
          <w:numId w:val="2"/>
        </w:numPr>
      </w:pPr>
      <w:r>
        <w:t xml:space="preserve">Renewables penetration: 40%</w:t>
      </w:r>
    </w:p>
    <w:p>
      <w:pPr>
        <w:pStyle w:val="ListParagraph"/>
        <w:numPr>
          <w:ilvl w:val="0"/>
          <w:numId w:val="2"/>
        </w:numPr>
      </w:pPr>
      <w:r>
        <w:t xml:space="preserve">Grid status: 60%</w:t>
      </w:r>
    </w:p>
    <w:p>
      <w:r>
        <w:t xml:space="preserve"/>
      </w:r>
    </w:p>
    <w:p>
      <w:pPr>
        <w:pStyle w:val="Heading2"/>
      </w:pPr>
      <w:r>
        <w:t xml:space="preserve">3.6 Competition (12.25%)</w:t>
      </w:r>
    </w:p>
    <w:p>
      <w:pPr>
        <w:pStyle w:val="ListParagraph"/>
        <w:numPr>
          <w:ilvl w:val="0"/>
          <w:numId w:val="2"/>
        </w:numPr>
      </w:pPr>
      <w:r>
        <w:t xml:space="preserve">Ownership consolidation: 30%</w:t>
      </w:r>
    </w:p>
    <w:p>
      <w:pPr>
        <w:pStyle w:val="ListParagraph"/>
        <w:numPr>
          <w:ilvl w:val="0"/>
          <w:numId w:val="2"/>
        </w:numPr>
      </w:pPr>
      <w:r>
        <w:t xml:space="preserve">Competitive landscape: 70%</w:t>
      </w:r>
    </w:p>
    <w:p>
      <w:r>
        <w:t xml:space="preserve"/>
      </w:r>
    </w:p>
    <w:p>
      <w:pPr>
        <w:pStyle w:val="Heading2"/>
      </w:pPr>
      <w:r>
        <w:t xml:space="preserve">3.7 Regulation (17%)</w:t>
      </w:r>
    </w:p>
    <w:p>
      <w:pPr>
        <w:pStyle w:val="ListParagraph"/>
        <w:numPr>
          <w:ilvl w:val="0"/>
          <w:numId w:val="2"/>
        </w:numPr>
      </w:pPr>
      <w:r>
        <w:t xml:space="preserve">Policy track record: 20%</w:t>
      </w:r>
    </w:p>
    <w:p>
      <w:pPr>
        <w:pStyle w:val="ListParagraph"/>
        <w:numPr>
          <w:ilvl w:val="0"/>
          <w:numId w:val="2"/>
        </w:numPr>
      </w:pPr>
      <w:r>
        <w:t xml:space="preserve">Support schemes: 50%</w:t>
      </w:r>
    </w:p>
    <w:p>
      <w:pPr>
        <w:pStyle w:val="ListParagraph"/>
        <w:numPr>
          <w:ilvl w:val="0"/>
          <w:numId w:val="2"/>
        </w:numPr>
      </w:pPr>
      <w:r>
        <w:t xml:space="preserve">Ambition: 30%</w:t>
      </w:r>
    </w:p>
    <w:p>
      <w:r>
        <w:t xml:space="preserve"/>
      </w:r>
    </w:p>
    <w:p>
      <w:r>
        <w:br w:type="page"/>
      </w:r>
    </w:p>
    <w:p>
      <w:pPr>
        <w:pStyle w:val="Heading1"/>
      </w:pPr>
      <w:r>
        <w:t xml:space="preserve">4. Parameter Definitions</w:t>
      </w:r>
    </w:p>
    <w:p>
      <w:r>
        <w:t xml:space="preserve"/>
      </w:r>
    </w:p>
    <w:p>
      <w:pPr>
        <w:pStyle w:val="Heading2"/>
      </w:pPr>
      <w:r>
        <w:t xml:space="preserve">4.1 Ambition</w:t>
      </w:r>
    </w:p>
    <w:p>
      <w:r>
        <w:t xml:space="preserve">The scores are based on renewables ambitions set by governments or other regulatory authorities in any market. Markets with higher renewables ambitions signal a stronger political will to support clean energy and are scored as more attractive. Aggressive yet realistic targets can provide a stable long-term pathway to plan the future clean energy buildout.</w:t>
      </w:r>
    </w:p>
    <w:p>
      <w:r>
        <w:t xml:space="preserve"/>
      </w:r>
    </w:p>
    <w:p>
      <w:pPr>
        <w:pStyle w:val="Heading2"/>
      </w:pPr>
      <w:r>
        <w:t xml:space="preserve">4.2 Available Resource</w:t>
      </w:r>
    </w:p>
    <w:p>
      <w:r>
        <w:t xml:space="preserve">The scores are indexed to the capacity utilization factors of newly built projects for each technology. In markets where capacity factor data was unavailable, the scoring by derived through a mix of expert judgement and data from resource maps. Markets with high resource availability have been scored higher since it drives technology preference and signals appetite for further build.</w:t>
      </w:r>
    </w:p>
    <w:p>
      <w:r>
        <w:t xml:space="preserve"/>
      </w:r>
    </w:p>
    <w:p>
      <w:pPr>
        <w:pStyle w:val="Heading2"/>
      </w:pPr>
      <w:r>
        <w:t xml:space="preserve">4.3 Competitive Landscape</w:t>
      </w:r>
    </w:p>
    <w:p>
      <w:r>
        <w:t xml:space="preserve">The scores are based on the type of players developing or owning projects in any given market to understand if the competitive landscape is conducive for new entrants. Factors including presence of small inexperienced players, high perceived demand for foreign capital and expertise, transparency in project awarding, and lack of protectionism results in a higher score.</w:t>
      </w:r>
    </w:p>
    <w:p>
      <w:r>
        <w:t xml:space="preserve"/>
      </w:r>
    </w:p>
    <w:p>
      <w:pPr>
        <w:pStyle w:val="Heading2"/>
      </w:pPr>
      <w:r>
        <w:t xml:space="preserve">4.4 Contract Terms</w:t>
      </w:r>
    </w:p>
    <w:p>
      <w:r>
        <w:t xml:space="preserve">The scores are based on the reliability and bankability of the power purchase contracts wherever applicable. Factors including long tenures, indexation to stable currency, well defined force majeure clauses, international dispute arbitration, and inflationary adjustments are scored higher.</w:t>
      </w:r>
    </w:p>
    <w:p>
      <w:r>
        <w:t xml:space="preserve"/>
      </w:r>
    </w:p>
    <w:p>
      <w:pPr>
        <w:pStyle w:val="Heading2"/>
      </w:pPr>
      <w:r>
        <w:t xml:space="preserve">4.5 Energy Dependence</w:t>
      </w:r>
    </w:p>
    <w:p>
      <w:r>
        <w:t xml:space="preserve">The scores are indexed to the import dependence of primary energy supply for a given market and is calculated as net imports divided by the total energy supply. Markets with higher import dependence are allocated a higher score since this creates a strong case for supporting self-sufficient renewable energy sources.</w:t>
      </w:r>
    </w:p>
    <w:p>
      <w:r>
        <w:t xml:space="preserve"/>
      </w:r>
    </w:p>
    <w:p>
      <w:pPr>
        <w:pStyle w:val="Heading2"/>
      </w:pPr>
      <w:r>
        <w:t xml:space="preserve">4.6 Expected Return</w:t>
      </w:r>
    </w:p>
    <w:p>
      <w:r>
        <w:t xml:space="preserve">The scores are indexed to the expected pretax internal rate of return (IRR) on investment for newly built projects for each technology wherever available. In markets where IRR estimates could not be reasonably ascertained, the weighted average cost of capital was utilized as a proxy since it signifies the minimum level of return required to justify investment.</w:t>
      </w:r>
    </w:p>
    <w:p>
      <w:r>
        <w:t xml:space="preserve"/>
      </w:r>
    </w:p>
    <w:p>
      <w:pPr>
        <w:pStyle w:val="Heading2"/>
      </w:pPr>
      <w:r>
        <w:t xml:space="preserve">4.7 Grid Status</w:t>
      </w:r>
    </w:p>
    <w:p>
      <w:r>
        <w:t xml:space="preserve">The scores are based on the status of electrical transmission infrastructure in a given market to understand its impact in supporting or hindering new renewables additions. Factors including a modernized grid; low curtailment; strong interconnections, especially between resource-rich regions and demand centers; and presence of expansion plans in line with renewables ambitions result in a higher score.</w:t>
      </w:r>
    </w:p>
    <w:p>
      <w:r>
        <w:t xml:space="preserve"/>
      </w:r>
    </w:p>
    <w:p>
      <w:pPr>
        <w:pStyle w:val="Heading2"/>
      </w:pPr>
      <w:r>
        <w:t xml:space="preserve">4.8 Installed Capacity</w:t>
      </w:r>
    </w:p>
    <w:p>
      <w:r>
        <w:t xml:space="preserve">The scores are indexed to the installed base for the selected technology. The score indicates the entrenched experience and acceptance of a given technology in any market with countries having a higher installed base being scored as more attractive.</w:t>
      </w:r>
    </w:p>
    <w:p>
      <w:r>
        <w:t xml:space="preserve"/>
      </w:r>
    </w:p>
    <w:p>
      <w:pPr>
        <w:pStyle w:val="Heading2"/>
      </w:pPr>
      <w:r>
        <w:t xml:space="preserve">4.9 Long-term Interest Rate</w:t>
      </w:r>
    </w:p>
    <w:p>
      <w:r>
        <w:t xml:space="preserve">The scores are indexed to the long-term interest rates for a given market and signal the level of risk-free return available while also serving as a proxy for market risk and currency volatility levels. A low long-term interest signals a stable market with a low rate of risk-free return, making a stronger case for investment in alternatives including renewables.</w:t>
      </w:r>
    </w:p>
    <w:p>
      <w:r>
        <w:t xml:space="preserve"/>
      </w:r>
    </w:p>
    <w:p>
      <w:pPr>
        <w:pStyle w:val="Heading2"/>
      </w:pPr>
      <w:r>
        <w:t xml:space="preserve">4.10 Market Stability</w:t>
      </w:r>
    </w:p>
    <w:p>
      <w:r>
        <w:t xml:space="preserve">The scores are indexed to the strategic risk rating of a given market and comprise various subrisks including political risk, economic risk, legal risk, tax risk, operational risk, and security risk. Markets with a lower risk rating have been given a higher score.</w:t>
      </w:r>
    </w:p>
    <w:p>
      <w:r>
        <w:t xml:space="preserve"/>
      </w:r>
    </w:p>
    <w:p>
      <w:pPr>
        <w:pStyle w:val="Heading2"/>
      </w:pPr>
      <w:r>
        <w:t xml:space="preserve">4.11 Offtaker Status</w:t>
      </w:r>
    </w:p>
    <w:p>
      <w:r>
        <w:t xml:space="preserve">The scores are based on the reliability and health of the renewables offtaker in a market. Factors including strong balance sheets and credit rating, liberalized markets with multiple buyers, and developed spot markets result in a higher score.</w:t>
      </w:r>
    </w:p>
    <w:p>
      <w:r>
        <w:t xml:space="preserve"/>
      </w:r>
    </w:p>
    <w:p>
      <w:pPr>
        <w:pStyle w:val="Heading2"/>
      </w:pPr>
      <w:r>
        <w:t xml:space="preserve">4.12 Ownership Consolidation</w:t>
      </w:r>
    </w:p>
    <w:p>
      <w:r>
        <w:t xml:space="preserve">The scores are indexed to the share of the total installed base (for each technology) that is owned by the five largest players in any market. Markets with a high degree or consolidation or monopolization significantly raises entry barriers for new players and have been scored as less attractive in comparison to more atomized markets with numerous stakeholders of all sizes and backgrounds.</w:t>
      </w:r>
    </w:p>
    <w:p>
      <w:r>
        <w:t xml:space="preserve"/>
      </w:r>
    </w:p>
    <w:p>
      <w:pPr>
        <w:pStyle w:val="Heading2"/>
      </w:pPr>
      <w:r>
        <w:t xml:space="preserve">4.13 Ownership Hurdles</w:t>
      </w:r>
    </w:p>
    <w:p>
      <w:r>
        <w:t xml:space="preserve">The scores are based on how easy it is for new entrants to perform well in renewables capacity procurement drives and develop or own projects. Factors including low foreign ownership restrictions, high market transparency, presence of a local supply chain, low permitting red tape, and minimal local content requirements result in a higher score.</w:t>
      </w:r>
    </w:p>
    <w:p>
      <w:r>
        <w:t xml:space="preserve"/>
      </w:r>
    </w:p>
    <w:p>
      <w:pPr>
        <w:pStyle w:val="Heading2"/>
      </w:pPr>
      <w:r>
        <w:t xml:space="preserve">4.14 Policy Track Record</w:t>
      </w:r>
    </w:p>
    <w:p>
      <w:r>
        <w:t xml:space="preserve">The scores are based on the success or failures of previous support mechanisms, which can provide insight on how newly announced initiatives can progress. Factors including realistic mechanisms in harmony with available infrastructure, oversubscribed procurement drives, timely commissioning of projects, and bipartisan support for renewables result in a higher score.</w:t>
      </w:r>
    </w:p>
    <w:p>
      <w:r>
        <w:t xml:space="preserve"/>
      </w:r>
    </w:p>
    <w:p>
      <w:pPr>
        <w:pStyle w:val="Heading2"/>
      </w:pPr>
      <w:r>
        <w:t xml:space="preserve">4.15 Power Market Size</w:t>
      </w:r>
    </w:p>
    <w:p>
      <w:r>
        <w:t xml:space="preserve">The scores are indexed to the total size of the power market (in terawatt hours), with larger power markets being scored as more attractive. The score provides an indication of the possible opportunity size for renewable energy.</w:t>
      </w:r>
    </w:p>
    <w:p>
      <w:r>
        <w:t xml:space="preserve"/>
      </w:r>
    </w:p>
    <w:p>
      <w:pPr>
        <w:pStyle w:val="Heading2"/>
      </w:pPr>
      <w:r>
        <w:t xml:space="preserve">4.16 Renewables Penetration</w:t>
      </w:r>
    </w:p>
    <w:p>
      <w:r>
        <w:t xml:space="preserve">The scores are indexed to the penetration of nonhydro renewables in the power generation mix. A higher penetration testifies to the entrenched experience of transmission system operators in balancing the grid while handling intermittent renewable energy sources.</w:t>
      </w:r>
    </w:p>
    <w:p>
      <w:r>
        <w:t xml:space="preserve"/>
      </w:r>
    </w:p>
    <w:p>
      <w:pPr>
        <w:pStyle w:val="Heading2"/>
      </w:pPr>
      <w:r>
        <w:t xml:space="preserve">4.17 Revenue Stream Stability</w:t>
      </w:r>
    </w:p>
    <w:p>
      <w:r>
        <w:t xml:space="preserve">The scores are based on the stability of revenue streams for new renewable energy projects in a market. Factors including guaranteed tariff mechanisms (feed-in tariffs [FITs], tenders), developed wholesale markets, low intertechnology competition, and presence of alternative revenues such as corporate power purchase agreements (PPAs) or green certificates results in a higher score.</w:t>
      </w:r>
    </w:p>
    <w:p>
      <w:r>
        <w:t xml:space="preserve"/>
      </w:r>
    </w:p>
    <w:p>
      <w:pPr>
        <w:pStyle w:val="Heading2"/>
      </w:pPr>
      <w:r>
        <w:t xml:space="preserve">4.18 Support Schemes</w:t>
      </w:r>
    </w:p>
    <w:p>
      <w:r>
        <w:t xml:space="preserve">The scores are indexed to the total installed base (for each technology) with support schemes. Markets with renewable energy projects that receive financial support are scored higher, indicating a commitment to fostering renewable energy development through government backing.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2025-12-12T10:53:24.588Z</dcterms:created>
  <dcterms:modified xsi:type="dcterms:W3CDTF">2025-12-12T10:53:24.588Z</dcterms:modified>
</cp:coreProperties>
</file>

<file path=docProps/custom.xml><?xml version="1.0" encoding="utf-8"?>
<Properties xmlns="http://schemas.openxmlformats.org/officeDocument/2006/custom-properties" xmlns:vt="http://schemas.openxmlformats.org/officeDocument/2006/docPropsVTypes"/>
</file>