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Data Requirements &amp; Sources</w:t>
      </w:r>
    </w:p>
    <w:p>
      <w:pPr>
        <w:pStyle w:val="Title"/>
      </w:pPr>
      <w:r>
        <w:t xml:space="preserve">Global Renewable Market Attractiveness Rankings</w:t>
      </w:r>
    </w:p>
    <w:p>
      <w:r>
        <w:t xml:space="preserve"/>
      </w:r>
    </w:p>
    <w:p>
      <w:pPr>
        <w:jc w:val="center"/>
      </w:pPr>
      <w:r>
        <w:rPr>
          <w:i/>
          <w:iCs/>
          <w:sz w:val="24"/>
          <w:szCs w:val="24"/>
        </w:rPr>
        <w:t xml:space="preserve">18 Parameters - Complete Data Specification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1. Overview</w:t>
      </w:r>
    </w:p>
    <w:p>
      <w:r>
        <w:t xml:space="preserve">This document specifies the data requirements and recommended sources for calculating all 18 parameters in the Global Renewable Market Attractiveness Rankings. For each parameter, we identify: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Required data points and metrics</w:t>
      </w:r>
    </w:p>
    <w:p>
      <w:pPr>
        <w:pStyle w:val="ListParagraph"/>
        <w:numPr>
          <w:ilvl w:val="0"/>
          <w:numId w:val="2"/>
        </w:numPr>
      </w:pPr>
      <w:r>
        <w:t xml:space="preserve">Primary and secondary data sources</w:t>
      </w:r>
    </w:p>
    <w:p>
      <w:pPr>
        <w:pStyle w:val="ListParagraph"/>
        <w:numPr>
          <w:ilvl w:val="0"/>
          <w:numId w:val="2"/>
        </w:numPr>
      </w:pPr>
      <w:r>
        <w:t xml:space="preserve">Data collection methodology notes</w:t>
      </w:r>
    </w:p>
    <w:p>
      <w:pPr>
        <w:pStyle w:val="ListParagraph"/>
        <w:numPr>
          <w:ilvl w:val="0"/>
          <w:numId w:val="2"/>
        </w:numPr>
      </w:pPr>
      <w:r>
        <w:t xml:space="preserve">Update frequency recommendations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2. Parameter Data Specifications</w:t>
      </w:r>
    </w:p>
    <w:p>
      <w:r>
        <w:t xml:space="preserve"/>
      </w:r>
    </w:p>
    <w:p>
      <w:pPr>
        <w:pStyle w:val="Heading2"/>
      </w:pPr>
      <w:r>
        <w:t xml:space="preserve">2.1 Ambition</w:t>
      </w:r>
    </w:p>
    <w:p>
      <w:pPr>
        <w:pStyle w:val="Heading3"/>
      </w:pPr>
      <w:r>
        <w:t xml:space="preserve">Required Data</w:t>
      </w:r>
    </w:p>
    <w:p>
      <w:pPr>
        <w:pStyle w:val="ListParagraph"/>
        <w:numPr>
          <w:ilvl w:val="0"/>
          <w:numId w:val="2"/>
        </w:numPr>
      </w:pPr>
      <w:r>
        <w:t xml:space="preserve">Government renewable energy targets (MW or % by year)</w:t>
      </w:r>
    </w:p>
    <w:p>
      <w:pPr>
        <w:pStyle w:val="ListParagraph"/>
        <w:numPr>
          <w:ilvl w:val="0"/>
          <w:numId w:val="2"/>
        </w:numPr>
      </w:pPr>
      <w:r>
        <w:t xml:space="preserve">Nationally Determined Contributions (NDCs) renewable commitments</w:t>
      </w:r>
    </w:p>
    <w:p>
      <w:pPr>
        <w:pStyle w:val="ListParagraph"/>
        <w:numPr>
          <w:ilvl w:val="0"/>
          <w:numId w:val="2"/>
        </w:numPr>
      </w:pPr>
      <w:r>
        <w:t xml:space="preserve">National energy policy documents and roadmaps</w:t>
      </w:r>
    </w:p>
    <w:p>
      <w:pPr>
        <w:pStyle w:val="ListParagraph"/>
        <w:numPr>
          <w:ilvl w:val="0"/>
          <w:numId w:val="2"/>
        </w:numPr>
      </w:pPr>
      <w:r>
        <w:t xml:space="preserve">Carbon neutrality/net-zero targets and timelines</w:t>
      </w:r>
    </w:p>
    <w:p>
      <w:pPr>
        <w:pStyle w:val="ListParagraph"/>
        <w:numPr>
          <w:ilvl w:val="0"/>
          <w:numId w:val="2"/>
        </w:numPr>
      </w:pPr>
      <w:r>
        <w:t xml:space="preserve">Renewable energy share targets in electricity generation</w:t>
      </w:r>
    </w:p>
    <w:p>
      <w:r>
        <w:t xml:space="preserve"/>
      </w:r>
    </w:p>
    <w:p>
      <w:pPr>
        <w:pStyle w:val="Heading3"/>
      </w:pPr>
      <w:r>
        <w:t xml:space="preserve">Data Sources</w:t>
      </w:r>
    </w:p>
    <w:p>
      <w:pPr>
        <w:pStyle w:val="ListParagraph"/>
        <w:numPr>
          <w:ilvl w:val="0"/>
          <w:numId w:val="2"/>
        </w:numPr>
      </w:pPr>
      <w:r>
        <w:t xml:space="preserve">Primary: National energy ministries and government policy documents</w:t>
      </w:r>
    </w:p>
    <w:p>
      <w:pPr>
        <w:pStyle w:val="ListParagraph"/>
        <w:numPr>
          <w:ilvl w:val="0"/>
          <w:numId w:val="2"/>
        </w:numPr>
      </w:pPr>
      <w:r>
        <w:t xml:space="preserve">UNFCCC NDC Registry (https://unfccc.int/NDCREG)</w:t>
      </w:r>
    </w:p>
    <w:p>
      <w:pPr>
        <w:pStyle w:val="ListParagraph"/>
        <w:numPr>
          <w:ilvl w:val="0"/>
          <w:numId w:val="2"/>
        </w:numPr>
      </w:pPr>
      <w:r>
        <w:t xml:space="preserve">IEA Policies and Measures Database</w:t>
      </w:r>
    </w:p>
    <w:p>
      <w:pPr>
        <w:pStyle w:val="ListParagraph"/>
        <w:numPr>
          <w:ilvl w:val="0"/>
          <w:numId w:val="2"/>
        </w:numPr>
      </w:pPr>
      <w:r>
        <w:t xml:space="preserve">REN21 Renewables Global Status Report</w:t>
      </w:r>
    </w:p>
    <w:p>
      <w:pPr>
        <w:pStyle w:val="ListParagraph"/>
        <w:numPr>
          <w:ilvl w:val="0"/>
          <w:numId w:val="2"/>
        </w:numPr>
      </w:pPr>
      <w:r>
        <w:t xml:space="preserve">IRENA Renewable Energy Target Setting reports</w:t>
      </w:r>
    </w:p>
    <w:p>
      <w:pPr>
        <w:pStyle w:val="ListParagraph"/>
        <w:numPr>
          <w:ilvl w:val="0"/>
          <w:numId w:val="2"/>
        </w:numPr>
      </w:pPr>
      <w:r>
        <w:t xml:space="preserve">Bloomberg NEF country outlook reports</w:t>
      </w:r>
    </w:p>
    <w:p>
      <w:r>
        <w:t xml:space="preserve"/>
      </w:r>
    </w:p>
    <w:p>
      <w:pPr>
        <w:pStyle w:val="Heading3"/>
      </w:pPr>
      <w:r>
        <w:t xml:space="preserve">Update Frequency</w:t>
      </w:r>
    </w:p>
    <w:p>
      <w:r>
        <w:t xml:space="preserve">Annual review recommended; major updates typically occur during climate conferences (COP) or national policy revisions.</w:t>
      </w:r>
    </w:p>
    <w:p>
      <w:r>
        <w:t xml:space="preserve"/>
      </w:r>
    </w:p>
    <w:p>
      <w:pPr>
        <w:pStyle w:val="Heading2"/>
      </w:pPr>
      <w:r>
        <w:t xml:space="preserve">2.2 Available Resource</w:t>
      </w:r>
    </w:p>
    <w:p>
      <w:pPr>
        <w:pStyle w:val="Heading3"/>
      </w:pPr>
      <w:r>
        <w:t xml:space="preserve">Required Data</w:t>
      </w:r>
    </w:p>
    <w:p>
      <w:pPr>
        <w:pStyle w:val="ListParagraph"/>
        <w:numPr>
          <w:ilvl w:val="0"/>
          <w:numId w:val="2"/>
        </w:numPr>
      </w:pPr>
      <w:r>
        <w:t xml:space="preserve">Capacity factors for solar PV (%) by region</w:t>
      </w:r>
    </w:p>
    <w:p>
      <w:pPr>
        <w:pStyle w:val="ListParagraph"/>
        <w:numPr>
          <w:ilvl w:val="0"/>
          <w:numId w:val="2"/>
        </w:numPr>
      </w:pPr>
      <w:r>
        <w:t xml:space="preserve">Capacity factors for onshore wind (%) by region</w:t>
      </w:r>
    </w:p>
    <w:p>
      <w:pPr>
        <w:pStyle w:val="ListParagraph"/>
        <w:numPr>
          <w:ilvl w:val="0"/>
          <w:numId w:val="2"/>
        </w:numPr>
      </w:pPr>
      <w:r>
        <w:t xml:space="preserve">Capacity factors for offshore wind (%) by region</w:t>
      </w:r>
    </w:p>
    <w:p>
      <w:pPr>
        <w:pStyle w:val="ListParagraph"/>
        <w:numPr>
          <w:ilvl w:val="0"/>
          <w:numId w:val="2"/>
        </w:numPr>
      </w:pPr>
      <w:r>
        <w:t xml:space="preserve">Solar irradiation data (kWh/m²/year)</w:t>
      </w:r>
    </w:p>
    <w:p>
      <w:pPr>
        <w:pStyle w:val="ListParagraph"/>
        <w:numPr>
          <w:ilvl w:val="0"/>
          <w:numId w:val="2"/>
        </w:numPr>
      </w:pPr>
      <w:r>
        <w:t xml:space="preserve">Wind speed data (m/s at hub height)</w:t>
      </w:r>
    </w:p>
    <w:p>
      <w:pPr>
        <w:pStyle w:val="ListParagraph"/>
        <w:numPr>
          <w:ilvl w:val="0"/>
          <w:numId w:val="2"/>
        </w:numPr>
      </w:pPr>
      <w:r>
        <w:t xml:space="preserve">Geographic resource availability maps</w:t>
      </w:r>
    </w:p>
    <w:p>
      <w:r>
        <w:t xml:space="preserve"/>
      </w:r>
    </w:p>
    <w:p>
      <w:pPr>
        <w:pStyle w:val="Heading3"/>
      </w:pPr>
      <w:r>
        <w:t xml:space="preserve">Data Sources</w:t>
      </w:r>
    </w:p>
    <w:p>
      <w:pPr>
        <w:pStyle w:val="ListParagraph"/>
        <w:numPr>
          <w:ilvl w:val="0"/>
          <w:numId w:val="2"/>
        </w:numPr>
      </w:pPr>
      <w:r>
        <w:t xml:space="preserve">Global Solar Atlas (https://globalsolaratlas.info) - World Bank/Solargis</w:t>
      </w:r>
    </w:p>
    <w:p>
      <w:pPr>
        <w:pStyle w:val="ListParagraph"/>
        <w:numPr>
          <w:ilvl w:val="0"/>
          <w:numId w:val="2"/>
        </w:numPr>
      </w:pPr>
      <w:r>
        <w:t xml:space="preserve">Global Wind Atlas (https://globalwindatlas.info) - DTU/World Bank</w:t>
      </w:r>
    </w:p>
    <w:p>
      <w:pPr>
        <w:pStyle w:val="ListParagraph"/>
        <w:numPr>
          <w:ilvl w:val="0"/>
          <w:numId w:val="2"/>
        </w:numPr>
      </w:pPr>
      <w:r>
        <w:t xml:space="preserve">NREL Renewable Energy Data</w:t>
      </w:r>
    </w:p>
    <w:p>
      <w:pPr>
        <w:pStyle w:val="ListParagraph"/>
        <w:numPr>
          <w:ilvl w:val="0"/>
          <w:numId w:val="2"/>
        </w:numPr>
      </w:pPr>
      <w:r>
        <w:t xml:space="preserve">IRENA Renewable Energy Statistics</w:t>
      </w:r>
    </w:p>
    <w:p>
      <w:pPr>
        <w:pStyle w:val="ListParagraph"/>
        <w:numPr>
          <w:ilvl w:val="0"/>
          <w:numId w:val="2"/>
        </w:numPr>
      </w:pPr>
      <w:r>
        <w:t xml:space="preserve">National meteorological agencies</w:t>
      </w:r>
    </w:p>
    <w:p>
      <w:pPr>
        <w:pStyle w:val="ListParagraph"/>
        <w:numPr>
          <w:ilvl w:val="0"/>
          <w:numId w:val="2"/>
        </w:numPr>
      </w:pPr>
      <w:r>
        <w:t xml:space="preserve">Vortex/3TIER/AWS Truepower resource assessments</w:t>
      </w:r>
    </w:p>
    <w:p>
      <w:pPr>
        <w:pStyle w:val="ListParagraph"/>
        <w:numPr>
          <w:ilvl w:val="0"/>
          <w:numId w:val="2"/>
        </w:numPr>
      </w:pPr>
      <w:r>
        <w:t xml:space="preserve">Bloomberg NEF capacity factor databases</w:t>
      </w:r>
    </w:p>
    <w:p>
      <w:r>
        <w:t xml:space="preserve"/>
      </w:r>
    </w:p>
    <w:p>
      <w:pPr>
        <w:pStyle w:val="Heading3"/>
      </w:pPr>
      <w:r>
        <w:t xml:space="preserve">Update Frequency</w:t>
      </w:r>
    </w:p>
    <w:p>
      <w:r>
        <w:t xml:space="preserve">Resource maps: Every 2-3 years. Capacity factor data: Annual updates as new project data becomes available.</w:t>
      </w:r>
    </w:p>
    <w:p>
      <w:r>
        <w:t xml:space="preserve"/>
      </w:r>
    </w:p>
    <w:p>
      <w:pPr>
        <w:pStyle w:val="Heading2"/>
      </w:pPr>
      <w:r>
        <w:t xml:space="preserve">2.3 Competitive Landscape</w:t>
      </w:r>
    </w:p>
    <w:p>
      <w:pPr>
        <w:pStyle w:val="Heading3"/>
      </w:pPr>
      <w:r>
        <w:t xml:space="preserve">Required Data</w:t>
      </w:r>
    </w:p>
    <w:p>
      <w:pPr>
        <w:pStyle w:val="ListParagraph"/>
        <w:numPr>
          <w:ilvl w:val="0"/>
          <w:numId w:val="2"/>
        </w:numPr>
      </w:pPr>
      <w:r>
        <w:t xml:space="preserve">List of project developers and owners by market</w:t>
      </w:r>
    </w:p>
    <w:p>
      <w:pPr>
        <w:pStyle w:val="ListParagraph"/>
        <w:numPr>
          <w:ilvl w:val="0"/>
          <w:numId w:val="2"/>
        </w:numPr>
      </w:pPr>
      <w:r>
        <w:t xml:space="preserve">Classification of players (IPP, utility, state-owned, foreign, local)</w:t>
      </w:r>
    </w:p>
    <w:p>
      <w:pPr>
        <w:pStyle w:val="ListParagraph"/>
        <w:numPr>
          <w:ilvl w:val="0"/>
          <w:numId w:val="2"/>
        </w:numPr>
      </w:pPr>
      <w:r>
        <w:t xml:space="preserve">Number and experience level of market participants</w:t>
      </w:r>
    </w:p>
    <w:p>
      <w:pPr>
        <w:pStyle w:val="ListParagraph"/>
        <w:numPr>
          <w:ilvl w:val="0"/>
          <w:numId w:val="2"/>
        </w:numPr>
      </w:pPr>
      <w:r>
        <w:t xml:space="preserve">Auction/tender participation and success rates by player type</w:t>
      </w:r>
    </w:p>
    <w:p>
      <w:pPr>
        <w:pStyle w:val="ListParagraph"/>
        <w:numPr>
          <w:ilvl w:val="0"/>
          <w:numId w:val="2"/>
        </w:numPr>
      </w:pPr>
      <w:r>
        <w:t xml:space="preserve">Foreign direct investment in renewable energy sector</w:t>
      </w:r>
    </w:p>
    <w:p>
      <w:pPr>
        <w:pStyle w:val="ListParagraph"/>
        <w:numPr>
          <w:ilvl w:val="0"/>
          <w:numId w:val="2"/>
        </w:numPr>
      </w:pPr>
      <w:r>
        <w:t xml:space="preserve">Market protectionism indicators and restrictions</w:t>
      </w:r>
    </w:p>
    <w:p>
      <w:r>
        <w:t xml:space="preserve"/>
      </w:r>
    </w:p>
    <w:p>
      <w:pPr>
        <w:pStyle w:val="Heading3"/>
      </w:pPr>
      <w:r>
        <w:t xml:space="preserve">Data Sources</w:t>
      </w:r>
    </w:p>
    <w:p>
      <w:pPr>
        <w:pStyle w:val="ListParagraph"/>
        <w:numPr>
          <w:ilvl w:val="0"/>
          <w:numId w:val="2"/>
        </w:numPr>
      </w:pPr>
      <w:r>
        <w:t xml:space="preserve">Bloomberg NEF project database and market reports</w:t>
      </w:r>
    </w:p>
    <w:p>
      <w:pPr>
        <w:pStyle w:val="ListParagraph"/>
        <w:numPr>
          <w:ilvl w:val="0"/>
          <w:numId w:val="2"/>
        </w:numPr>
      </w:pPr>
      <w:r>
        <w:t xml:space="preserve">Wood Mackenzie Power &amp; Renewables</w:t>
      </w:r>
    </w:p>
    <w:p>
      <w:pPr>
        <w:pStyle w:val="ListParagraph"/>
        <w:numPr>
          <w:ilvl w:val="0"/>
          <w:numId w:val="2"/>
        </w:numPr>
      </w:pPr>
      <w:r>
        <w:t xml:space="preserve">IJ Global Project Finance Database</w:t>
      </w:r>
    </w:p>
    <w:p>
      <w:pPr>
        <w:pStyle w:val="ListParagraph"/>
        <w:numPr>
          <w:ilvl w:val="0"/>
          <w:numId w:val="2"/>
        </w:numPr>
      </w:pPr>
      <w:r>
        <w:t xml:space="preserve">Government auction/tender results</w:t>
      </w:r>
    </w:p>
    <w:p>
      <w:pPr>
        <w:pStyle w:val="ListParagraph"/>
        <w:numPr>
          <w:ilvl w:val="0"/>
          <w:numId w:val="2"/>
        </w:numPr>
      </w:pPr>
      <w:r>
        <w:t xml:space="preserve">Industry databases: 4C Offshore, Clean Energy Pipeline</w:t>
      </w:r>
    </w:p>
    <w:p>
      <w:pPr>
        <w:pStyle w:val="ListParagraph"/>
        <w:numPr>
          <w:ilvl w:val="0"/>
          <w:numId w:val="2"/>
        </w:numPr>
      </w:pPr>
      <w:r>
        <w:t xml:space="preserve">Company annual reports and investor presentations</w:t>
      </w:r>
    </w:p>
    <w:p>
      <w:pPr>
        <w:pStyle w:val="ListParagraph"/>
        <w:numPr>
          <w:ilvl w:val="0"/>
          <w:numId w:val="2"/>
        </w:numPr>
      </w:pPr>
      <w:r>
        <w:t xml:space="preserve">Trade associations and industry bodies</w:t>
      </w:r>
    </w:p>
    <w:p>
      <w:r>
        <w:t xml:space="preserve"/>
      </w:r>
    </w:p>
    <w:p>
      <w:pPr>
        <w:pStyle w:val="Heading3"/>
      </w:pPr>
      <w:r>
        <w:t xml:space="preserve">Update Frequency</w:t>
      </w:r>
    </w:p>
    <w:p>
      <w:r>
        <w:t xml:space="preserve">Semi-annual updates recommended to capture new entrants and market dynamics.</w:t>
      </w:r>
    </w:p>
    <w:p>
      <w:r>
        <w:t xml:space="preserve"/>
      </w:r>
    </w:p>
    <w:p>
      <w:pPr>
        <w:pStyle w:val="Heading2"/>
      </w:pPr>
      <w:r>
        <w:t xml:space="preserve">2.4 Contract Terms</w:t>
      </w:r>
    </w:p>
    <w:p>
      <w:pPr>
        <w:pStyle w:val="Heading3"/>
      </w:pPr>
      <w:r>
        <w:t xml:space="preserve">Required Data</w:t>
      </w:r>
    </w:p>
    <w:p>
      <w:pPr>
        <w:pStyle w:val="ListParagraph"/>
        <w:numPr>
          <w:ilvl w:val="0"/>
          <w:numId w:val="2"/>
        </w:numPr>
      </w:pPr>
      <w:r>
        <w:t xml:space="preserve">Standard PPA contract lengths (years)</w:t>
      </w:r>
    </w:p>
    <w:p>
      <w:pPr>
        <w:pStyle w:val="ListParagraph"/>
        <w:numPr>
          <w:ilvl w:val="0"/>
          <w:numId w:val="2"/>
        </w:numPr>
      </w:pPr>
      <w:r>
        <w:t xml:space="preserve">Currency denomination and indexation mechanisms</w:t>
      </w:r>
    </w:p>
    <w:p>
      <w:pPr>
        <w:pStyle w:val="ListParagraph"/>
        <w:numPr>
          <w:ilvl w:val="0"/>
          <w:numId w:val="2"/>
        </w:numPr>
      </w:pPr>
      <w:r>
        <w:t xml:space="preserve">Force majeure clause definitions and coverage</w:t>
      </w:r>
    </w:p>
    <w:p>
      <w:pPr>
        <w:pStyle w:val="ListParagraph"/>
        <w:numPr>
          <w:ilvl w:val="0"/>
          <w:numId w:val="2"/>
        </w:numPr>
      </w:pPr>
      <w:r>
        <w:t xml:space="preserve">Dispute resolution mechanisms (international arbitration availability)</w:t>
      </w:r>
    </w:p>
    <w:p>
      <w:pPr>
        <w:pStyle w:val="ListParagraph"/>
        <w:numPr>
          <w:ilvl w:val="0"/>
          <w:numId w:val="2"/>
        </w:numPr>
      </w:pPr>
      <w:r>
        <w:t xml:space="preserve">Inflation adjustment provisions</w:t>
      </w:r>
    </w:p>
    <w:p>
      <w:pPr>
        <w:pStyle w:val="ListParagraph"/>
        <w:numPr>
          <w:ilvl w:val="0"/>
          <w:numId w:val="2"/>
        </w:numPr>
      </w:pPr>
      <w:r>
        <w:t xml:space="preserve">Payment guarantee mechanisms</w:t>
      </w:r>
    </w:p>
    <w:p>
      <w:pPr>
        <w:pStyle w:val="ListParagraph"/>
        <w:numPr>
          <w:ilvl w:val="0"/>
          <w:numId w:val="2"/>
        </w:numPr>
      </w:pPr>
      <w:r>
        <w:t xml:space="preserve">Termination and change-in-law provisions</w:t>
      </w:r>
    </w:p>
    <w:p>
      <w:r>
        <w:t xml:space="preserve"/>
      </w:r>
    </w:p>
    <w:p>
      <w:pPr>
        <w:pStyle w:val="Heading3"/>
      </w:pPr>
      <w:r>
        <w:t xml:space="preserve">Data Sources</w:t>
      </w:r>
    </w:p>
    <w:p>
      <w:pPr>
        <w:pStyle w:val="ListParagraph"/>
        <w:numPr>
          <w:ilvl w:val="0"/>
          <w:numId w:val="2"/>
        </w:numPr>
      </w:pPr>
      <w:r>
        <w:t xml:space="preserve">Standard PPA templates from regulatory authorities</w:t>
      </w:r>
    </w:p>
    <w:p>
      <w:pPr>
        <w:pStyle w:val="ListParagraph"/>
        <w:numPr>
          <w:ilvl w:val="0"/>
          <w:numId w:val="2"/>
        </w:numPr>
      </w:pPr>
      <w:r>
        <w:t xml:space="preserve">Project finance legal databases (Practical Law, LexisNexis)</w:t>
      </w:r>
    </w:p>
    <w:p>
      <w:pPr>
        <w:pStyle w:val="ListParagraph"/>
        <w:numPr>
          <w:ilvl w:val="0"/>
          <w:numId w:val="2"/>
        </w:numPr>
      </w:pPr>
      <w:r>
        <w:t xml:space="preserve">IJ Global deal terms database</w:t>
      </w:r>
    </w:p>
    <w:p>
      <w:pPr>
        <w:pStyle w:val="ListParagraph"/>
        <w:numPr>
          <w:ilvl w:val="0"/>
          <w:numId w:val="2"/>
        </w:numPr>
      </w:pPr>
      <w:r>
        <w:t xml:space="preserve">Norton Rose Fulbright/Allen &amp; Overy renewable energy reports</w:t>
      </w:r>
    </w:p>
    <w:p>
      <w:pPr>
        <w:pStyle w:val="ListParagraph"/>
        <w:numPr>
          <w:ilvl w:val="0"/>
          <w:numId w:val="2"/>
        </w:numPr>
      </w:pPr>
      <w:r>
        <w:t xml:space="preserve">USAID Power Africa legal frameworks</w:t>
      </w:r>
    </w:p>
    <w:p>
      <w:pPr>
        <w:pStyle w:val="ListParagraph"/>
        <w:numPr>
          <w:ilvl w:val="0"/>
          <w:numId w:val="2"/>
        </w:numPr>
      </w:pPr>
      <w:r>
        <w:t xml:space="preserve">World Bank GET FiT program documentation</w:t>
      </w:r>
    </w:p>
    <w:p>
      <w:pPr>
        <w:pStyle w:val="ListParagraph"/>
        <w:numPr>
          <w:ilvl w:val="0"/>
          <w:numId w:val="2"/>
        </w:numPr>
      </w:pPr>
      <w:r>
        <w:t xml:space="preserve">Bloomberg NEF country market outlooks</w:t>
      </w:r>
    </w:p>
    <w:p>
      <w:r>
        <w:t xml:space="preserve"/>
      </w:r>
    </w:p>
    <w:p>
      <w:pPr>
        <w:pStyle w:val="Heading3"/>
      </w:pPr>
      <w:r>
        <w:t xml:space="preserve">Update Frequency</w:t>
      </w:r>
    </w:p>
    <w:p>
      <w:r>
        <w:t xml:space="preserve">Annual review; more frequent updates if major regulatory changes occur.</w:t>
      </w:r>
    </w:p>
    <w:p>
      <w:r>
        <w:t xml:space="preserve"/>
      </w:r>
    </w:p>
    <w:p>
      <w:pPr>
        <w:pStyle w:val="Heading2"/>
      </w:pPr>
      <w:r>
        <w:t xml:space="preserve">2.5 Energy Dependence</w:t>
      </w:r>
    </w:p>
    <w:p>
      <w:pPr>
        <w:pStyle w:val="Heading3"/>
      </w:pPr>
      <w:r>
        <w:t xml:space="preserve">Required Data</w:t>
      </w:r>
    </w:p>
    <w:p>
      <w:pPr>
        <w:pStyle w:val="ListParagraph"/>
        <w:numPr>
          <w:ilvl w:val="0"/>
          <w:numId w:val="2"/>
        </w:numPr>
      </w:pPr>
      <w:r>
        <w:t xml:space="preserve">Total primary energy supply (TPES) by country (Mtoe or PJ)</w:t>
      </w:r>
    </w:p>
    <w:p>
      <w:pPr>
        <w:pStyle w:val="ListParagraph"/>
        <w:numPr>
          <w:ilvl w:val="0"/>
          <w:numId w:val="2"/>
        </w:numPr>
      </w:pPr>
      <w:r>
        <w:t xml:space="preserve">Energy imports by fuel type (Mtoe or PJ)</w:t>
      </w:r>
    </w:p>
    <w:p>
      <w:pPr>
        <w:pStyle w:val="ListParagraph"/>
        <w:numPr>
          <w:ilvl w:val="0"/>
          <w:numId w:val="2"/>
        </w:numPr>
      </w:pPr>
      <w:r>
        <w:t xml:space="preserve">Energy exports by fuel type (Mtoe or PJ)</w:t>
      </w:r>
    </w:p>
    <w:p>
      <w:pPr>
        <w:pStyle w:val="ListParagraph"/>
        <w:numPr>
          <w:ilvl w:val="0"/>
          <w:numId w:val="2"/>
        </w:numPr>
      </w:pPr>
      <w:r>
        <w:t xml:space="preserve">Net energy imports (imports minus exports)</w:t>
      </w:r>
    </w:p>
    <w:p>
      <w:pPr>
        <w:pStyle w:val="ListParagraph"/>
        <w:numPr>
          <w:ilvl w:val="0"/>
          <w:numId w:val="2"/>
        </w:numPr>
      </w:pPr>
      <w:r>
        <w:t xml:space="preserve">Import dependence ratio (net imports / TPES)</w:t>
      </w:r>
    </w:p>
    <w:p>
      <w:r>
        <w:t xml:space="preserve"/>
      </w:r>
    </w:p>
    <w:p>
      <w:pPr>
        <w:pStyle w:val="Heading3"/>
      </w:pPr>
      <w:r>
        <w:t xml:space="preserve">Data Sources</w:t>
      </w:r>
    </w:p>
    <w:p>
      <w:pPr>
        <w:pStyle w:val="ListParagraph"/>
        <w:numPr>
          <w:ilvl w:val="0"/>
          <w:numId w:val="2"/>
        </w:numPr>
      </w:pPr>
      <w:r>
        <w:t xml:space="preserve">IEA World Energy Balances</w:t>
      </w:r>
    </w:p>
    <w:p>
      <w:pPr>
        <w:pStyle w:val="ListParagraph"/>
        <w:numPr>
          <w:ilvl w:val="0"/>
          <w:numId w:val="2"/>
        </w:numPr>
      </w:pPr>
      <w:r>
        <w:t xml:space="preserve">IEA Energy Statistics Data Browser</w:t>
      </w:r>
    </w:p>
    <w:p>
      <w:pPr>
        <w:pStyle w:val="ListParagraph"/>
        <w:numPr>
          <w:ilvl w:val="0"/>
          <w:numId w:val="2"/>
        </w:numPr>
      </w:pPr>
      <w:r>
        <w:t xml:space="preserve">BP Statistical Review of World Energy</w:t>
      </w:r>
    </w:p>
    <w:p>
      <w:pPr>
        <w:pStyle w:val="ListParagraph"/>
        <w:numPr>
          <w:ilvl w:val="0"/>
          <w:numId w:val="2"/>
        </w:numPr>
      </w:pPr>
      <w:r>
        <w:t xml:space="preserve">World Bank World Development Indicators</w:t>
      </w:r>
    </w:p>
    <w:p>
      <w:pPr>
        <w:pStyle w:val="ListParagraph"/>
        <w:numPr>
          <w:ilvl w:val="0"/>
          <w:numId w:val="2"/>
        </w:numPr>
      </w:pPr>
      <w:r>
        <w:t xml:space="preserve">U.S. EIA International Energy Data</w:t>
      </w:r>
    </w:p>
    <w:p>
      <w:pPr>
        <w:pStyle w:val="ListParagraph"/>
        <w:numPr>
          <w:ilvl w:val="0"/>
          <w:numId w:val="2"/>
        </w:numPr>
      </w:pPr>
      <w:r>
        <w:t xml:space="preserve">National statistical offices and energy ministries</w:t>
      </w:r>
    </w:p>
    <w:p>
      <w:pPr>
        <w:pStyle w:val="ListParagraph"/>
        <w:numPr>
          <w:ilvl w:val="0"/>
          <w:numId w:val="2"/>
        </w:numPr>
      </w:pPr>
      <w:r>
        <w:t xml:space="preserve">Eurostat Energy Balance Sheets (for EU countries)</w:t>
      </w:r>
    </w:p>
    <w:p>
      <w:r>
        <w:t xml:space="preserve"/>
      </w:r>
    </w:p>
    <w:p>
      <w:pPr>
        <w:pStyle w:val="Heading3"/>
      </w:pPr>
      <w:r>
        <w:t xml:space="preserve">Update Frequency</w:t>
      </w:r>
    </w:p>
    <w:p>
      <w:r>
        <w:t xml:space="preserve">Annual updates; IEA typically releases data with 1-2 year lag.</w:t>
      </w:r>
    </w:p>
    <w:p>
      <w:r>
        <w:t xml:space="preserve"/>
      </w:r>
    </w:p>
    <w:p>
      <w:pPr>
        <w:pStyle w:val="Heading2"/>
      </w:pPr>
      <w:r>
        <w:t xml:space="preserve">2.6 Expected Return</w:t>
      </w:r>
    </w:p>
    <w:p>
      <w:pPr>
        <w:pStyle w:val="Heading3"/>
      </w:pPr>
      <w:r>
        <w:t xml:space="preserve">Required Data</w:t>
      </w:r>
    </w:p>
    <w:p>
      <w:pPr>
        <w:pStyle w:val="ListParagraph"/>
        <w:numPr>
          <w:ilvl w:val="0"/>
          <w:numId w:val="2"/>
        </w:numPr>
      </w:pPr>
      <w:r>
        <w:t xml:space="preserve">Project-level pre-tax Internal Rate of Return (IRR) by technology</w:t>
      </w:r>
    </w:p>
    <w:p>
      <w:pPr>
        <w:pStyle w:val="ListParagraph"/>
        <w:numPr>
          <w:ilvl w:val="0"/>
          <w:numId w:val="2"/>
        </w:numPr>
      </w:pPr>
      <w:r>
        <w:t xml:space="preserve">Weighted Average Cost of Capital (WACC) by market and technology</w:t>
      </w:r>
    </w:p>
    <w:p>
      <w:pPr>
        <w:pStyle w:val="ListParagraph"/>
        <w:numPr>
          <w:ilvl w:val="0"/>
          <w:numId w:val="2"/>
        </w:numPr>
      </w:pPr>
      <w:r>
        <w:t xml:space="preserve">Equity IRR expectations by investor type</w:t>
      </w:r>
    </w:p>
    <w:p>
      <w:pPr>
        <w:pStyle w:val="ListParagraph"/>
        <w:numPr>
          <w:ilvl w:val="0"/>
          <w:numId w:val="2"/>
        </w:numPr>
      </w:pPr>
      <w:r>
        <w:t xml:space="preserve">Levelized Cost of Energy (LCOE) estimates</w:t>
      </w:r>
    </w:p>
    <w:p>
      <w:pPr>
        <w:pStyle w:val="ListParagraph"/>
        <w:numPr>
          <w:ilvl w:val="0"/>
          <w:numId w:val="2"/>
        </w:numPr>
      </w:pPr>
      <w:r>
        <w:t xml:space="preserve">PPA prices or revenue assumptions</w:t>
      </w:r>
    </w:p>
    <w:p>
      <w:pPr>
        <w:pStyle w:val="ListParagraph"/>
        <w:numPr>
          <w:ilvl w:val="0"/>
          <w:numId w:val="2"/>
        </w:numPr>
      </w:pPr>
      <w:r>
        <w:t xml:space="preserve">CAPEX and OPEX assumptions by technology</w:t>
      </w:r>
    </w:p>
    <w:p>
      <w:r>
        <w:t xml:space="preserve"/>
      </w:r>
    </w:p>
    <w:p>
      <w:pPr>
        <w:pStyle w:val="Heading3"/>
      </w:pPr>
      <w:r>
        <w:t xml:space="preserve">Data Sources</w:t>
      </w:r>
    </w:p>
    <w:p>
      <w:pPr>
        <w:pStyle w:val="ListParagraph"/>
        <w:numPr>
          <w:ilvl w:val="0"/>
          <w:numId w:val="2"/>
        </w:numPr>
      </w:pPr>
      <w:r>
        <w:t xml:space="preserve">Bloomberg NEF New Energy Outlook and LCOE reports</w:t>
      </w:r>
    </w:p>
    <w:p>
      <w:pPr>
        <w:pStyle w:val="ListParagraph"/>
        <w:numPr>
          <w:ilvl w:val="0"/>
          <w:numId w:val="2"/>
        </w:numPr>
      </w:pPr>
      <w:r>
        <w:t xml:space="preserve">Wood Mackenzie project economics databases</w:t>
      </w:r>
    </w:p>
    <w:p>
      <w:pPr>
        <w:pStyle w:val="ListParagraph"/>
        <w:numPr>
          <w:ilvl w:val="0"/>
          <w:numId w:val="2"/>
        </w:numPr>
      </w:pPr>
      <w:r>
        <w:t xml:space="preserve">Lazard Levelized Cost of Energy Analysis</w:t>
      </w:r>
    </w:p>
    <w:p>
      <w:pPr>
        <w:pStyle w:val="ListParagraph"/>
        <w:numPr>
          <w:ilvl w:val="0"/>
          <w:numId w:val="2"/>
        </w:numPr>
      </w:pPr>
      <w:r>
        <w:t xml:space="preserve">IRENA Renewable Power Generation Costs reports</w:t>
      </w:r>
    </w:p>
    <w:p>
      <w:pPr>
        <w:pStyle w:val="ListParagraph"/>
        <w:numPr>
          <w:ilvl w:val="0"/>
          <w:numId w:val="2"/>
        </w:numPr>
      </w:pPr>
      <w:r>
        <w:t xml:space="preserve">IJ Global financial models and deal terms</w:t>
      </w:r>
    </w:p>
    <w:p>
      <w:pPr>
        <w:pStyle w:val="ListParagraph"/>
        <w:numPr>
          <w:ilvl w:val="0"/>
          <w:numId w:val="2"/>
        </w:numPr>
      </w:pPr>
      <w:r>
        <w:t xml:space="preserve">National renewable energy laboratories (NREL, CSIRO)</w:t>
      </w:r>
    </w:p>
    <w:p>
      <w:pPr>
        <w:pStyle w:val="ListParagraph"/>
        <w:numPr>
          <w:ilvl w:val="0"/>
          <w:numId w:val="2"/>
        </w:numPr>
      </w:pPr>
      <w:r>
        <w:t xml:space="preserve">Developer investor presentations and feasibility studies</w:t>
      </w:r>
    </w:p>
    <w:p>
      <w:r>
        <w:t xml:space="preserve"/>
      </w:r>
    </w:p>
    <w:p>
      <w:pPr>
        <w:pStyle w:val="Heading3"/>
      </w:pPr>
      <w:r>
        <w:t xml:space="preserve">Update Frequency</w:t>
      </w:r>
    </w:p>
    <w:p>
      <w:r>
        <w:t xml:space="preserve">Semi-annual to annual updates; technology costs evolve rapidly.</w:t>
      </w:r>
    </w:p>
    <w:p>
      <w:r>
        <w:t xml:space="preserve"/>
      </w:r>
    </w:p>
    <w:p>
      <w:pPr>
        <w:pStyle w:val="Heading2"/>
      </w:pPr>
      <w:r>
        <w:t xml:space="preserve">2.7 Grid Status</w:t>
      </w:r>
    </w:p>
    <w:p>
      <w:pPr>
        <w:pStyle w:val="Heading3"/>
      </w:pPr>
      <w:r>
        <w:t xml:space="preserve">Required Data</w:t>
      </w:r>
    </w:p>
    <w:p>
      <w:pPr>
        <w:pStyle w:val="ListParagraph"/>
        <w:numPr>
          <w:ilvl w:val="0"/>
          <w:numId w:val="2"/>
        </w:numPr>
      </w:pPr>
      <w:r>
        <w:t xml:space="preserve">Transmission grid capacity and voltage levels</w:t>
      </w:r>
    </w:p>
    <w:p>
      <w:pPr>
        <w:pStyle w:val="ListParagraph"/>
        <w:numPr>
          <w:ilvl w:val="0"/>
          <w:numId w:val="2"/>
        </w:numPr>
      </w:pPr>
      <w:r>
        <w:t xml:space="preserve">Renewable energy curtailment rates (%)</w:t>
      </w:r>
    </w:p>
    <w:p>
      <w:pPr>
        <w:pStyle w:val="ListParagraph"/>
        <w:numPr>
          <w:ilvl w:val="0"/>
          <w:numId w:val="2"/>
        </w:numPr>
      </w:pPr>
      <w:r>
        <w:t xml:space="preserve">Grid interconnection capacity and cross-border flows</w:t>
      </w:r>
    </w:p>
    <w:p>
      <w:pPr>
        <w:pStyle w:val="ListParagraph"/>
        <w:numPr>
          <w:ilvl w:val="0"/>
          <w:numId w:val="2"/>
        </w:numPr>
      </w:pPr>
      <w:r>
        <w:t xml:space="preserve">Grid modernization investments and smart grid deployment</w:t>
      </w:r>
    </w:p>
    <w:p>
      <w:pPr>
        <w:pStyle w:val="ListParagraph"/>
        <w:numPr>
          <w:ilvl w:val="0"/>
          <w:numId w:val="2"/>
        </w:numPr>
      </w:pPr>
      <w:r>
        <w:t xml:space="preserve">Transmission expansion plans aligned with renewable targets</w:t>
      </w:r>
    </w:p>
    <w:p>
      <w:pPr>
        <w:pStyle w:val="ListParagraph"/>
        <w:numPr>
          <w:ilvl w:val="0"/>
          <w:numId w:val="2"/>
        </w:numPr>
      </w:pPr>
      <w:r>
        <w:t xml:space="preserve">Average connection queue times</w:t>
      </w:r>
    </w:p>
    <w:p>
      <w:pPr>
        <w:pStyle w:val="ListParagraph"/>
        <w:numPr>
          <w:ilvl w:val="0"/>
          <w:numId w:val="2"/>
        </w:numPr>
      </w:pPr>
      <w:r>
        <w:t xml:space="preserve">Grid reliability metrics (SAIDI, SAIFI)</w:t>
      </w:r>
    </w:p>
    <w:p>
      <w:r>
        <w:t xml:space="preserve"/>
      </w:r>
    </w:p>
    <w:p>
      <w:pPr>
        <w:pStyle w:val="Heading3"/>
      </w:pPr>
      <w:r>
        <w:t xml:space="preserve">Data Sources</w:t>
      </w:r>
    </w:p>
    <w:p>
      <w:pPr>
        <w:pStyle w:val="ListParagraph"/>
        <w:numPr>
          <w:ilvl w:val="0"/>
          <w:numId w:val="2"/>
        </w:numPr>
      </w:pPr>
      <w:r>
        <w:t xml:space="preserve">National Transmission System Operators (TSO) reports</w:t>
      </w:r>
    </w:p>
    <w:p>
      <w:pPr>
        <w:pStyle w:val="ListParagraph"/>
        <w:numPr>
          <w:ilvl w:val="0"/>
          <w:numId w:val="2"/>
        </w:numPr>
      </w:pPr>
      <w:r>
        <w:t xml:space="preserve">Regional grid operators (ENTSOE, CAISO, PJM, etc.)</w:t>
      </w:r>
    </w:p>
    <w:p>
      <w:pPr>
        <w:pStyle w:val="ListParagraph"/>
        <w:numPr>
          <w:ilvl w:val="0"/>
          <w:numId w:val="2"/>
        </w:numPr>
      </w:pPr>
      <w:r>
        <w:t xml:space="preserve">IEA Grid Integration of Variable Renewables reports</w:t>
      </w:r>
    </w:p>
    <w:p>
      <w:pPr>
        <w:pStyle w:val="ListParagraph"/>
        <w:numPr>
          <w:ilvl w:val="0"/>
          <w:numId w:val="2"/>
        </w:numPr>
      </w:pPr>
      <w:r>
        <w:t xml:space="preserve">IRENA Innovation Landscape reports</w:t>
      </w:r>
    </w:p>
    <w:p>
      <w:pPr>
        <w:pStyle w:val="ListParagraph"/>
        <w:numPr>
          <w:ilvl w:val="0"/>
          <w:numId w:val="2"/>
        </w:numPr>
      </w:pPr>
      <w:r>
        <w:t xml:space="preserve">National energy regulatory authorities</w:t>
      </w:r>
    </w:p>
    <w:p>
      <w:pPr>
        <w:pStyle w:val="ListParagraph"/>
        <w:numPr>
          <w:ilvl w:val="0"/>
          <w:numId w:val="2"/>
        </w:numPr>
      </w:pPr>
      <w:r>
        <w:t xml:space="preserve">Bloomberg NEF grid infrastructure reports</w:t>
      </w:r>
    </w:p>
    <w:p>
      <w:pPr>
        <w:pStyle w:val="ListParagraph"/>
        <w:numPr>
          <w:ilvl w:val="0"/>
          <w:numId w:val="2"/>
        </w:numPr>
      </w:pPr>
      <w:r>
        <w:t xml:space="preserve">World Bank energy sector assessments</w:t>
      </w:r>
    </w:p>
    <w:p>
      <w:r>
        <w:t xml:space="preserve"/>
      </w:r>
    </w:p>
    <w:p>
      <w:pPr>
        <w:pStyle w:val="Heading3"/>
      </w:pPr>
      <w:r>
        <w:t xml:space="preserve">Update Frequency</w:t>
      </w:r>
    </w:p>
    <w:p>
      <w:r>
        <w:t xml:space="preserve">Annual updates for most metrics; curtailment data may be available quarterly.</w:t>
      </w:r>
    </w:p>
    <w:p>
      <w:r>
        <w:t xml:space="preserve"/>
      </w:r>
    </w:p>
    <w:p>
      <w:pPr>
        <w:pStyle w:val="Heading2"/>
      </w:pPr>
      <w:r>
        <w:t xml:space="preserve">2.8 Installed Capacity</w:t>
      </w:r>
    </w:p>
    <w:p>
      <w:pPr>
        <w:pStyle w:val="Heading3"/>
      </w:pPr>
      <w:r>
        <w:t xml:space="preserve">Required Data</w:t>
      </w:r>
    </w:p>
    <w:p>
      <w:pPr>
        <w:pStyle w:val="ListParagraph"/>
        <w:numPr>
          <w:ilvl w:val="0"/>
          <w:numId w:val="2"/>
        </w:numPr>
      </w:pPr>
      <w:r>
        <w:t xml:space="preserve">Total installed renewable capacity by technology (MW or GW)</w:t>
      </w:r>
    </w:p>
    <w:p>
      <w:pPr>
        <w:pStyle w:val="ListParagraph"/>
        <w:numPr>
          <w:ilvl w:val="0"/>
          <w:numId w:val="2"/>
        </w:numPr>
      </w:pPr>
      <w:r>
        <w:t xml:space="preserve">Solar PV installed capacity</w:t>
      </w:r>
    </w:p>
    <w:p>
      <w:pPr>
        <w:pStyle w:val="ListParagraph"/>
        <w:numPr>
          <w:ilvl w:val="0"/>
          <w:numId w:val="2"/>
        </w:numPr>
      </w:pPr>
      <w:r>
        <w:t xml:space="preserve">Onshore wind installed capacity</w:t>
      </w:r>
    </w:p>
    <w:p>
      <w:pPr>
        <w:pStyle w:val="ListParagraph"/>
        <w:numPr>
          <w:ilvl w:val="0"/>
          <w:numId w:val="2"/>
        </w:numPr>
      </w:pPr>
      <w:r>
        <w:t xml:space="preserve">Offshore wind installed capacity</w:t>
      </w:r>
    </w:p>
    <w:p>
      <w:pPr>
        <w:pStyle w:val="ListParagraph"/>
        <w:numPr>
          <w:ilvl w:val="0"/>
          <w:numId w:val="2"/>
        </w:numPr>
      </w:pPr>
      <w:r>
        <w:t xml:space="preserve">Other renewable technologies (hydro, biomass, geothermal)</w:t>
      </w:r>
    </w:p>
    <w:p>
      <w:pPr>
        <w:pStyle w:val="ListParagraph"/>
        <w:numPr>
          <w:ilvl w:val="0"/>
          <w:numId w:val="2"/>
        </w:numPr>
      </w:pPr>
      <w:r>
        <w:t xml:space="preserve">Historical capacity additions by year</w:t>
      </w:r>
    </w:p>
    <w:p>
      <w:r>
        <w:t xml:space="preserve"/>
      </w:r>
    </w:p>
    <w:p>
      <w:pPr>
        <w:pStyle w:val="Heading3"/>
      </w:pPr>
      <w:r>
        <w:t xml:space="preserve">Data Sources</w:t>
      </w:r>
    </w:p>
    <w:p>
      <w:pPr>
        <w:pStyle w:val="ListParagraph"/>
        <w:numPr>
          <w:ilvl w:val="0"/>
          <w:numId w:val="2"/>
        </w:numPr>
      </w:pPr>
      <w:r>
        <w:t xml:space="preserve">IRENA Renewable Capacity Statistics</w:t>
      </w:r>
    </w:p>
    <w:p>
      <w:pPr>
        <w:pStyle w:val="ListParagraph"/>
        <w:numPr>
          <w:ilvl w:val="0"/>
          <w:numId w:val="2"/>
        </w:numPr>
      </w:pPr>
      <w:r>
        <w:t xml:space="preserve">IEA Renewables Information</w:t>
      </w:r>
    </w:p>
    <w:p>
      <w:pPr>
        <w:pStyle w:val="ListParagraph"/>
        <w:numPr>
          <w:ilvl w:val="0"/>
          <w:numId w:val="2"/>
        </w:numPr>
      </w:pPr>
      <w:r>
        <w:t xml:space="preserve">REN21 Global Status Reports</w:t>
      </w:r>
    </w:p>
    <w:p>
      <w:pPr>
        <w:pStyle w:val="ListParagraph"/>
        <w:numPr>
          <w:ilvl w:val="0"/>
          <w:numId w:val="2"/>
        </w:numPr>
      </w:pPr>
      <w:r>
        <w:t xml:space="preserve">Bloomberg NEF databases</w:t>
      </w:r>
    </w:p>
    <w:p>
      <w:pPr>
        <w:pStyle w:val="ListParagraph"/>
        <w:numPr>
          <w:ilvl w:val="0"/>
          <w:numId w:val="2"/>
        </w:numPr>
      </w:pPr>
      <w:r>
        <w:t xml:space="preserve">National energy agencies and regulators</w:t>
      </w:r>
    </w:p>
    <w:p>
      <w:pPr>
        <w:pStyle w:val="ListParagraph"/>
        <w:numPr>
          <w:ilvl w:val="0"/>
          <w:numId w:val="2"/>
        </w:numPr>
      </w:pPr>
      <w:r>
        <w:t xml:space="preserve">Industry associations (SolarPower Europe, GWEC, AWEA)</w:t>
      </w:r>
    </w:p>
    <w:p>
      <w:pPr>
        <w:pStyle w:val="ListParagraph"/>
        <w:numPr>
          <w:ilvl w:val="0"/>
          <w:numId w:val="2"/>
        </w:numPr>
      </w:pPr>
      <w:r>
        <w:t xml:space="preserve">U.S. EIA Electric Power Annual</w:t>
      </w:r>
    </w:p>
    <w:p>
      <w:r>
        <w:t xml:space="preserve"/>
      </w:r>
    </w:p>
    <w:p>
      <w:pPr>
        <w:pStyle w:val="Heading3"/>
      </w:pPr>
      <w:r>
        <w:t xml:space="preserve">Update Frequency</w:t>
      </w:r>
    </w:p>
    <w:p>
      <w:r>
        <w:t xml:space="preserve">Annual updates; some sources provide quarterly or monthly capacity additions.</w:t>
      </w:r>
    </w:p>
    <w:p>
      <w:r>
        <w:t xml:space="preserve"/>
      </w:r>
    </w:p>
    <w:p>
      <w:pPr>
        <w:pStyle w:val="Heading2"/>
      </w:pPr>
      <w:r>
        <w:t xml:space="preserve">2.9 Long-term Interest Rate</w:t>
      </w:r>
    </w:p>
    <w:p>
      <w:pPr>
        <w:pStyle w:val="Heading3"/>
      </w:pPr>
      <w:r>
        <w:t xml:space="preserve">Required Data</w:t>
      </w:r>
    </w:p>
    <w:p>
      <w:pPr>
        <w:pStyle w:val="ListParagraph"/>
        <w:numPr>
          <w:ilvl w:val="0"/>
          <w:numId w:val="2"/>
        </w:numPr>
      </w:pPr>
      <w:r>
        <w:t xml:space="preserve">10-year government bond yields (%)</w:t>
      </w:r>
    </w:p>
    <w:p>
      <w:pPr>
        <w:pStyle w:val="ListParagraph"/>
        <w:numPr>
          <w:ilvl w:val="0"/>
          <w:numId w:val="2"/>
        </w:numPr>
      </w:pPr>
      <w:r>
        <w:t xml:space="preserve">Sovereign credit ratings</w:t>
      </w:r>
    </w:p>
    <w:p>
      <w:pPr>
        <w:pStyle w:val="ListParagraph"/>
        <w:numPr>
          <w:ilvl w:val="0"/>
          <w:numId w:val="2"/>
        </w:numPr>
      </w:pPr>
      <w:r>
        <w:t xml:space="preserve">Risk-free rate proxies for markets without deep bond markets</w:t>
      </w:r>
    </w:p>
    <w:p>
      <w:pPr>
        <w:pStyle w:val="ListParagraph"/>
        <w:numPr>
          <w:ilvl w:val="0"/>
          <w:numId w:val="2"/>
        </w:numPr>
      </w:pPr>
      <w:r>
        <w:t xml:space="preserve">Historical yield trends and volatility</w:t>
      </w:r>
    </w:p>
    <w:p>
      <w:r>
        <w:t xml:space="preserve"/>
      </w:r>
    </w:p>
    <w:p>
      <w:pPr>
        <w:pStyle w:val="Heading3"/>
      </w:pPr>
      <w:r>
        <w:t xml:space="preserve">Data Sources</w:t>
      </w:r>
    </w:p>
    <w:p>
      <w:pPr>
        <w:pStyle w:val="ListParagraph"/>
        <w:numPr>
          <w:ilvl w:val="0"/>
          <w:numId w:val="2"/>
        </w:numPr>
      </w:pPr>
      <w:r>
        <w:t xml:space="preserve">Central bank websites and statistical databases</w:t>
      </w:r>
    </w:p>
    <w:p>
      <w:pPr>
        <w:pStyle w:val="ListParagraph"/>
        <w:numPr>
          <w:ilvl w:val="0"/>
          <w:numId w:val="2"/>
        </w:numPr>
      </w:pPr>
      <w:r>
        <w:t xml:space="preserve">Bloomberg Terminal (government bond indices)</w:t>
      </w:r>
    </w:p>
    <w:p>
      <w:pPr>
        <w:pStyle w:val="ListParagraph"/>
        <w:numPr>
          <w:ilvl w:val="0"/>
          <w:numId w:val="2"/>
        </w:numPr>
      </w:pPr>
      <w:r>
        <w:t xml:space="preserve">World Bank Global Economic Monitor</w:t>
      </w:r>
    </w:p>
    <w:p>
      <w:pPr>
        <w:pStyle w:val="ListParagraph"/>
        <w:numPr>
          <w:ilvl w:val="0"/>
          <w:numId w:val="2"/>
        </w:numPr>
      </w:pPr>
      <w:r>
        <w:t xml:space="preserve">IMF International Financial Statistics</w:t>
      </w:r>
    </w:p>
    <w:p>
      <w:pPr>
        <w:pStyle w:val="ListParagraph"/>
        <w:numPr>
          <w:ilvl w:val="0"/>
          <w:numId w:val="2"/>
        </w:numPr>
      </w:pPr>
      <w:r>
        <w:t xml:space="preserve">OECD Main Economic Indicators</w:t>
      </w:r>
    </w:p>
    <w:p>
      <w:pPr>
        <w:pStyle w:val="ListParagraph"/>
        <w:numPr>
          <w:ilvl w:val="0"/>
          <w:numId w:val="2"/>
        </w:numPr>
      </w:pPr>
      <w:r>
        <w:t xml:space="preserve">Trading Economics databases</w:t>
      </w:r>
    </w:p>
    <w:p>
      <w:pPr>
        <w:pStyle w:val="ListParagraph"/>
        <w:numPr>
          <w:ilvl w:val="0"/>
          <w:numId w:val="2"/>
        </w:numPr>
      </w:pPr>
      <w:r>
        <w:t xml:space="preserve">National treasury departments</w:t>
      </w:r>
    </w:p>
    <w:p>
      <w:r>
        <w:t xml:space="preserve"/>
      </w:r>
    </w:p>
    <w:p>
      <w:pPr>
        <w:pStyle w:val="Heading3"/>
      </w:pPr>
      <w:r>
        <w:t xml:space="preserve">Update Frequency</w:t>
      </w:r>
    </w:p>
    <w:p>
      <w:r>
        <w:t xml:space="preserve">Monthly or quarterly updates; bond yields fluctuate continuously but use period averages.</w:t>
      </w:r>
    </w:p>
    <w:p>
      <w:r>
        <w:t xml:space="preserve"/>
      </w:r>
    </w:p>
    <w:p>
      <w:pPr>
        <w:pStyle w:val="Heading2"/>
      </w:pPr>
      <w:r>
        <w:t xml:space="preserve">2.10 Market Stability</w:t>
      </w:r>
    </w:p>
    <w:p>
      <w:pPr>
        <w:pStyle w:val="Heading3"/>
      </w:pPr>
      <w:r>
        <w:t xml:space="preserve">Required Data</w:t>
      </w:r>
    </w:p>
    <w:p>
      <w:pPr>
        <w:pStyle w:val="ListParagraph"/>
        <w:numPr>
          <w:ilvl w:val="0"/>
          <w:numId w:val="2"/>
        </w:numPr>
      </w:pPr>
      <w:r>
        <w:t xml:space="preserve">Political risk scores</w:t>
      </w:r>
    </w:p>
    <w:p>
      <w:pPr>
        <w:pStyle w:val="ListParagraph"/>
        <w:numPr>
          <w:ilvl w:val="0"/>
          <w:numId w:val="2"/>
        </w:numPr>
      </w:pPr>
      <w:r>
        <w:t xml:space="preserve">Economic risk ratings</w:t>
      </w:r>
    </w:p>
    <w:p>
      <w:pPr>
        <w:pStyle w:val="ListParagraph"/>
        <w:numPr>
          <w:ilvl w:val="0"/>
          <w:numId w:val="2"/>
        </w:numPr>
      </w:pPr>
      <w:r>
        <w:t xml:space="preserve">Legal and regulatory risk assessments</w:t>
      </w:r>
    </w:p>
    <w:p>
      <w:pPr>
        <w:pStyle w:val="ListParagraph"/>
        <w:numPr>
          <w:ilvl w:val="0"/>
          <w:numId w:val="2"/>
        </w:numPr>
      </w:pPr>
      <w:r>
        <w:t xml:space="preserve">Tax policy stability indicators</w:t>
      </w:r>
    </w:p>
    <w:p>
      <w:pPr>
        <w:pStyle w:val="ListParagraph"/>
        <w:numPr>
          <w:ilvl w:val="0"/>
          <w:numId w:val="2"/>
        </w:numPr>
      </w:pPr>
      <w:r>
        <w:t xml:space="preserve">Operational and security risk scores</w:t>
      </w:r>
    </w:p>
    <w:p>
      <w:pPr>
        <w:pStyle w:val="ListParagraph"/>
        <w:numPr>
          <w:ilvl w:val="0"/>
          <w:numId w:val="2"/>
        </w:numPr>
      </w:pPr>
      <w:r>
        <w:t xml:space="preserve">Currency volatility measures</w:t>
      </w:r>
    </w:p>
    <w:p>
      <w:pPr>
        <w:pStyle w:val="ListParagraph"/>
        <w:numPr>
          <w:ilvl w:val="0"/>
          <w:numId w:val="2"/>
        </w:numPr>
      </w:pPr>
      <w:r>
        <w:t xml:space="preserve">Governance indicators</w:t>
      </w:r>
    </w:p>
    <w:p>
      <w:r>
        <w:t xml:space="preserve"/>
      </w:r>
    </w:p>
    <w:p>
      <w:pPr>
        <w:pStyle w:val="Heading3"/>
      </w:pPr>
      <w:r>
        <w:t xml:space="preserve">Data Sources</w:t>
      </w:r>
    </w:p>
    <w:p>
      <w:pPr>
        <w:pStyle w:val="ListParagraph"/>
        <w:numPr>
          <w:ilvl w:val="0"/>
          <w:numId w:val="2"/>
        </w:numPr>
      </w:pPr>
      <w:r>
        <w:t xml:space="preserve">Marsh Political Risk Map</w:t>
      </w:r>
    </w:p>
    <w:p>
      <w:pPr>
        <w:pStyle w:val="ListParagraph"/>
        <w:numPr>
          <w:ilvl w:val="0"/>
          <w:numId w:val="2"/>
        </w:numPr>
      </w:pPr>
      <w:r>
        <w:t xml:space="preserve">Aon Political and Economic Risk Map</w:t>
      </w:r>
    </w:p>
    <w:p>
      <w:pPr>
        <w:pStyle w:val="ListParagraph"/>
        <w:numPr>
          <w:ilvl w:val="0"/>
          <w:numId w:val="2"/>
        </w:numPr>
      </w:pPr>
      <w:r>
        <w:t xml:space="preserve">World Bank Worldwide Governance Indicators</w:t>
      </w:r>
    </w:p>
    <w:p>
      <w:pPr>
        <w:pStyle w:val="ListParagraph"/>
        <w:numPr>
          <w:ilvl w:val="0"/>
          <w:numId w:val="2"/>
        </w:numPr>
      </w:pPr>
      <w:r>
        <w:t xml:space="preserve">Transparency International Corruption Perceptions Index</w:t>
      </w:r>
    </w:p>
    <w:p>
      <w:pPr>
        <w:pStyle w:val="ListParagraph"/>
        <w:numPr>
          <w:ilvl w:val="0"/>
          <w:numId w:val="2"/>
        </w:numPr>
      </w:pPr>
      <w:r>
        <w:t xml:space="preserve">Economist Intelligence Unit Country Risk Service</w:t>
      </w:r>
    </w:p>
    <w:p>
      <w:pPr>
        <w:pStyle w:val="ListParagraph"/>
        <w:numPr>
          <w:ilvl w:val="0"/>
          <w:numId w:val="2"/>
        </w:numPr>
      </w:pPr>
      <w:r>
        <w:t xml:space="preserve">S&amp;P Global Ratings sovereign risk assessments</w:t>
      </w:r>
    </w:p>
    <w:p>
      <w:pPr>
        <w:pStyle w:val="ListParagraph"/>
        <w:numPr>
          <w:ilvl w:val="0"/>
          <w:numId w:val="2"/>
        </w:numPr>
      </w:pPr>
      <w:r>
        <w:t xml:space="preserve">Moody's Sovereign Risk ratings</w:t>
      </w:r>
    </w:p>
    <w:p>
      <w:pPr>
        <w:pStyle w:val="ListParagraph"/>
        <w:numPr>
          <w:ilvl w:val="0"/>
          <w:numId w:val="2"/>
        </w:numPr>
      </w:pPr>
      <w:r>
        <w:t xml:space="preserve">Control Risks country risk forecasts</w:t>
      </w:r>
    </w:p>
    <w:p>
      <w:r>
        <w:t xml:space="preserve"/>
      </w:r>
    </w:p>
    <w:p>
      <w:pPr>
        <w:pStyle w:val="Heading3"/>
      </w:pPr>
      <w:r>
        <w:t xml:space="preserve">Update Frequency</w:t>
      </w:r>
    </w:p>
    <w:p>
      <w:r>
        <w:t xml:space="preserve">Annual updates for most indices; some provide quarterly revisions.</w:t>
      </w:r>
    </w:p>
    <w:p>
      <w:r>
        <w:t xml:space="preserve"/>
      </w:r>
    </w:p>
    <w:p>
      <w:pPr>
        <w:pStyle w:val="Heading2"/>
      </w:pPr>
      <w:r>
        <w:t xml:space="preserve">2.11 Offtaker Status</w:t>
      </w:r>
    </w:p>
    <w:p>
      <w:pPr>
        <w:pStyle w:val="Heading3"/>
      </w:pPr>
      <w:r>
        <w:t xml:space="preserve">Required Data</w:t>
      </w:r>
    </w:p>
    <w:p>
      <w:pPr>
        <w:pStyle w:val="ListParagraph"/>
        <w:numPr>
          <w:ilvl w:val="0"/>
          <w:numId w:val="2"/>
        </w:numPr>
      </w:pPr>
      <w:r>
        <w:t xml:space="preserve">Utility credit ratings (S&amp;P, Moody's, Fitch)</w:t>
      </w:r>
    </w:p>
    <w:p>
      <w:pPr>
        <w:pStyle w:val="ListParagraph"/>
        <w:numPr>
          <w:ilvl w:val="0"/>
          <w:numId w:val="2"/>
        </w:numPr>
      </w:pPr>
      <w:r>
        <w:t xml:space="preserve">Utility financial statements (balance sheet strength)</w:t>
      </w:r>
    </w:p>
    <w:p>
      <w:pPr>
        <w:pStyle w:val="ListParagraph"/>
        <w:numPr>
          <w:ilvl w:val="0"/>
          <w:numId w:val="2"/>
        </w:numPr>
      </w:pPr>
      <w:r>
        <w:t xml:space="preserve">Debt-to-equity ratios</w:t>
      </w:r>
    </w:p>
    <w:p>
      <w:pPr>
        <w:pStyle w:val="ListParagraph"/>
        <w:numPr>
          <w:ilvl w:val="0"/>
          <w:numId w:val="2"/>
        </w:numPr>
      </w:pPr>
      <w:r>
        <w:t xml:space="preserve">Payment history and arrears data</w:t>
      </w:r>
    </w:p>
    <w:p>
      <w:pPr>
        <w:pStyle w:val="ListParagraph"/>
        <w:numPr>
          <w:ilvl w:val="0"/>
          <w:numId w:val="2"/>
        </w:numPr>
      </w:pPr>
      <w:r>
        <w:t xml:space="preserve">Market structure (monopoly vs. competitive market)</w:t>
      </w:r>
    </w:p>
    <w:p>
      <w:pPr>
        <w:pStyle w:val="ListParagraph"/>
        <w:numPr>
          <w:ilvl w:val="0"/>
          <w:numId w:val="2"/>
        </w:numPr>
      </w:pPr>
      <w:r>
        <w:t xml:space="preserve">Number of potential offtakers in market</w:t>
      </w:r>
    </w:p>
    <w:p>
      <w:pPr>
        <w:pStyle w:val="ListParagraph"/>
        <w:numPr>
          <w:ilvl w:val="0"/>
          <w:numId w:val="2"/>
        </w:numPr>
      </w:pPr>
      <w:r>
        <w:t xml:space="preserve">Spot market development and liquidity</w:t>
      </w:r>
    </w:p>
    <w:p>
      <w:r>
        <w:t xml:space="preserve"/>
      </w:r>
    </w:p>
    <w:p>
      <w:pPr>
        <w:pStyle w:val="Heading3"/>
      </w:pPr>
      <w:r>
        <w:t xml:space="preserve">Data Sources</w:t>
      </w:r>
    </w:p>
    <w:p>
      <w:pPr>
        <w:pStyle w:val="ListParagraph"/>
        <w:numPr>
          <w:ilvl w:val="0"/>
          <w:numId w:val="2"/>
        </w:numPr>
      </w:pPr>
      <w:r>
        <w:t xml:space="preserve">S&amp;P Global Ratings</w:t>
      </w:r>
    </w:p>
    <w:p>
      <w:pPr>
        <w:pStyle w:val="ListParagraph"/>
        <w:numPr>
          <w:ilvl w:val="0"/>
          <w:numId w:val="2"/>
        </w:numPr>
      </w:pPr>
      <w:r>
        <w:t xml:space="preserve">Moody's Investors Service</w:t>
      </w:r>
    </w:p>
    <w:p>
      <w:pPr>
        <w:pStyle w:val="ListParagraph"/>
        <w:numPr>
          <w:ilvl w:val="0"/>
          <w:numId w:val="2"/>
        </w:numPr>
      </w:pPr>
      <w:r>
        <w:t xml:space="preserve">Fitch Ratings</w:t>
      </w:r>
    </w:p>
    <w:p>
      <w:pPr>
        <w:pStyle w:val="ListParagraph"/>
        <w:numPr>
          <w:ilvl w:val="0"/>
          <w:numId w:val="2"/>
        </w:numPr>
      </w:pPr>
      <w:r>
        <w:t xml:space="preserve">Utility company annual reports and SEC filings</w:t>
      </w:r>
    </w:p>
    <w:p>
      <w:pPr>
        <w:pStyle w:val="ListParagraph"/>
        <w:numPr>
          <w:ilvl w:val="0"/>
          <w:numId w:val="2"/>
        </w:numPr>
      </w:pPr>
      <w:r>
        <w:t xml:space="preserve">National energy regulatory commission reports</w:t>
      </w:r>
    </w:p>
    <w:p>
      <w:pPr>
        <w:pStyle w:val="ListParagraph"/>
        <w:numPr>
          <w:ilvl w:val="0"/>
          <w:numId w:val="2"/>
        </w:numPr>
      </w:pPr>
      <w:r>
        <w:t xml:space="preserve">Bloomberg utility financial data</w:t>
      </w:r>
    </w:p>
    <w:p>
      <w:pPr>
        <w:pStyle w:val="ListParagraph"/>
        <w:numPr>
          <w:ilvl w:val="0"/>
          <w:numId w:val="2"/>
        </w:numPr>
      </w:pPr>
      <w:r>
        <w:t xml:space="preserve">World Bank energy sector reviews</w:t>
      </w:r>
    </w:p>
    <w:p>
      <w:r>
        <w:t xml:space="preserve"/>
      </w:r>
    </w:p>
    <w:p>
      <w:pPr>
        <w:pStyle w:val="Heading3"/>
      </w:pPr>
      <w:r>
        <w:t xml:space="preserve">Update Frequency</w:t>
      </w:r>
    </w:p>
    <w:p>
      <w:r>
        <w:t xml:space="preserve">Annual updates for financial metrics; credit ratings updated as issued by agencies.</w:t>
      </w:r>
    </w:p>
    <w:p>
      <w:r>
        <w:t xml:space="preserve"/>
      </w:r>
    </w:p>
    <w:p>
      <w:pPr>
        <w:pStyle w:val="Heading2"/>
      </w:pPr>
      <w:r>
        <w:t xml:space="preserve">2.12 Ownership Consolidation</w:t>
      </w:r>
    </w:p>
    <w:p>
      <w:pPr>
        <w:pStyle w:val="Heading3"/>
      </w:pPr>
      <w:r>
        <w:t xml:space="preserve">Required Data</w:t>
      </w:r>
    </w:p>
    <w:p>
      <w:pPr>
        <w:pStyle w:val="ListParagraph"/>
        <w:numPr>
          <w:ilvl w:val="0"/>
          <w:numId w:val="2"/>
        </w:numPr>
      </w:pPr>
      <w:r>
        <w:t xml:space="preserve">Market share of top 5 renewable energy asset owners by technology (%)</w:t>
      </w:r>
    </w:p>
    <w:p>
      <w:pPr>
        <w:pStyle w:val="ListParagraph"/>
        <w:numPr>
          <w:ilvl w:val="0"/>
          <w:numId w:val="2"/>
        </w:numPr>
      </w:pPr>
      <w:r>
        <w:t xml:space="preserve">Total installed capacity owned by each major player</w:t>
      </w:r>
    </w:p>
    <w:p>
      <w:pPr>
        <w:pStyle w:val="ListParagraph"/>
        <w:numPr>
          <w:ilvl w:val="0"/>
          <w:numId w:val="2"/>
        </w:numPr>
      </w:pPr>
      <w:r>
        <w:t xml:space="preserve">Herfindahl-Hirschman Index (HHI) for market concentration</w:t>
      </w:r>
    </w:p>
    <w:p>
      <w:pPr>
        <w:pStyle w:val="ListParagraph"/>
        <w:numPr>
          <w:ilvl w:val="0"/>
          <w:numId w:val="2"/>
        </w:numPr>
      </w:pPr>
      <w:r>
        <w:t xml:space="preserve">Number of independent asset owners</w:t>
      </w:r>
    </w:p>
    <w:p>
      <w:pPr>
        <w:pStyle w:val="ListParagraph"/>
        <w:numPr>
          <w:ilvl w:val="0"/>
          <w:numId w:val="2"/>
        </w:numPr>
      </w:pPr>
      <w:r>
        <w:t xml:space="preserve">State-owned vs. private ownership ratios</w:t>
      </w:r>
    </w:p>
    <w:p>
      <w:r>
        <w:t xml:space="preserve"/>
      </w:r>
    </w:p>
    <w:p>
      <w:pPr>
        <w:pStyle w:val="Heading3"/>
      </w:pPr>
      <w:r>
        <w:t xml:space="preserve">Data Sources</w:t>
      </w:r>
    </w:p>
    <w:p>
      <w:pPr>
        <w:pStyle w:val="ListParagraph"/>
        <w:numPr>
          <w:ilvl w:val="0"/>
          <w:numId w:val="2"/>
        </w:numPr>
      </w:pPr>
      <w:r>
        <w:t xml:space="preserve">Bloomberg NEF asset ownership databases</w:t>
      </w:r>
    </w:p>
    <w:p>
      <w:pPr>
        <w:pStyle w:val="ListParagraph"/>
        <w:numPr>
          <w:ilvl w:val="0"/>
          <w:numId w:val="2"/>
        </w:numPr>
      </w:pPr>
      <w:r>
        <w:t xml:space="preserve">Wood Mackenzie Power &amp; Renewables</w:t>
      </w:r>
    </w:p>
    <w:p>
      <w:pPr>
        <w:pStyle w:val="ListParagraph"/>
        <w:numPr>
          <w:ilvl w:val="0"/>
          <w:numId w:val="2"/>
        </w:numPr>
      </w:pPr>
      <w:r>
        <w:t xml:space="preserve">Company annual reports and asset registers</w:t>
      </w:r>
    </w:p>
    <w:p>
      <w:pPr>
        <w:pStyle w:val="ListParagraph"/>
        <w:numPr>
          <w:ilvl w:val="0"/>
          <w:numId w:val="2"/>
        </w:numPr>
      </w:pPr>
      <w:r>
        <w:t xml:space="preserve">National energy regulators asset databases</w:t>
      </w:r>
    </w:p>
    <w:p>
      <w:pPr>
        <w:pStyle w:val="ListParagraph"/>
        <w:numPr>
          <w:ilvl w:val="0"/>
          <w:numId w:val="2"/>
        </w:numPr>
      </w:pPr>
      <w:r>
        <w:t xml:space="preserve">Industry databases (4C Offshore, JWN Energy)</w:t>
      </w:r>
    </w:p>
    <w:p>
      <w:pPr>
        <w:pStyle w:val="ListParagraph"/>
        <w:numPr>
          <w:ilvl w:val="0"/>
          <w:numId w:val="2"/>
        </w:numPr>
      </w:pPr>
      <w:r>
        <w:t xml:space="preserve">Market research reports</w:t>
      </w:r>
    </w:p>
    <w:p>
      <w:r>
        <w:t xml:space="preserve"/>
      </w:r>
    </w:p>
    <w:p>
      <w:pPr>
        <w:pStyle w:val="Heading3"/>
      </w:pPr>
      <w:r>
        <w:t xml:space="preserve">Update Frequency</w:t>
      </w:r>
    </w:p>
    <w:p>
      <w:r>
        <w:t xml:space="preserve">Annual updates; major M&amp;A activity may require interim revisions.</w:t>
      </w:r>
    </w:p>
    <w:p>
      <w:r>
        <w:t xml:space="preserve"/>
      </w:r>
    </w:p>
    <w:p>
      <w:pPr>
        <w:pStyle w:val="Heading2"/>
      </w:pPr>
      <w:r>
        <w:t xml:space="preserve">2.13 Ownership Hurdles</w:t>
      </w:r>
    </w:p>
    <w:p>
      <w:pPr>
        <w:pStyle w:val="Heading3"/>
      </w:pPr>
      <w:r>
        <w:t xml:space="preserve">Required Data</w:t>
      </w:r>
    </w:p>
    <w:p>
      <w:pPr>
        <w:pStyle w:val="ListParagraph"/>
        <w:numPr>
          <w:ilvl w:val="0"/>
          <w:numId w:val="2"/>
        </w:numPr>
      </w:pPr>
      <w:r>
        <w:t xml:space="preserve">Foreign ownership restrictions (% caps or sector bans)</w:t>
      </w:r>
    </w:p>
    <w:p>
      <w:pPr>
        <w:pStyle w:val="ListParagraph"/>
        <w:numPr>
          <w:ilvl w:val="0"/>
          <w:numId w:val="2"/>
        </w:numPr>
      </w:pPr>
      <w:r>
        <w:t xml:space="preserve">Local content requirements (%)</w:t>
      </w:r>
    </w:p>
    <w:p>
      <w:pPr>
        <w:pStyle w:val="ListParagraph"/>
        <w:numPr>
          <w:ilvl w:val="0"/>
          <w:numId w:val="2"/>
        </w:numPr>
      </w:pPr>
      <w:r>
        <w:t xml:space="preserve">Permitting timelines and complexity</w:t>
      </w:r>
    </w:p>
    <w:p>
      <w:pPr>
        <w:pStyle w:val="ListParagraph"/>
        <w:numPr>
          <w:ilvl w:val="0"/>
          <w:numId w:val="2"/>
        </w:numPr>
      </w:pPr>
      <w:r>
        <w:t xml:space="preserve">Environmental impact assessment requirements</w:t>
      </w:r>
    </w:p>
    <w:p>
      <w:pPr>
        <w:pStyle w:val="ListParagraph"/>
        <w:numPr>
          <w:ilvl w:val="0"/>
          <w:numId w:val="2"/>
        </w:numPr>
      </w:pPr>
      <w:r>
        <w:t xml:space="preserve">Grid connection process and timelines</w:t>
      </w:r>
    </w:p>
    <w:p>
      <w:pPr>
        <w:pStyle w:val="ListParagraph"/>
        <w:numPr>
          <w:ilvl w:val="0"/>
          <w:numId w:val="2"/>
        </w:numPr>
      </w:pPr>
      <w:r>
        <w:t xml:space="preserve">Land acquisition processes</w:t>
      </w:r>
    </w:p>
    <w:p>
      <w:pPr>
        <w:pStyle w:val="ListParagraph"/>
        <w:numPr>
          <w:ilvl w:val="0"/>
          <w:numId w:val="2"/>
        </w:numPr>
      </w:pPr>
      <w:r>
        <w:t xml:space="preserve">Transparency of procurement processes</w:t>
      </w:r>
    </w:p>
    <w:p>
      <w:pPr>
        <w:pStyle w:val="ListParagraph"/>
        <w:numPr>
          <w:ilvl w:val="0"/>
          <w:numId w:val="2"/>
        </w:numPr>
      </w:pPr>
      <w:r>
        <w:t xml:space="preserve">Local supply chain maturity</w:t>
      </w:r>
    </w:p>
    <w:p>
      <w:r>
        <w:t xml:space="preserve"/>
      </w:r>
    </w:p>
    <w:p>
      <w:pPr>
        <w:pStyle w:val="Heading3"/>
      </w:pPr>
      <w:r>
        <w:t xml:space="preserve">Data Sources</w:t>
      </w:r>
    </w:p>
    <w:p>
      <w:pPr>
        <w:pStyle w:val="ListParagraph"/>
        <w:numPr>
          <w:ilvl w:val="0"/>
          <w:numId w:val="2"/>
        </w:numPr>
      </w:pPr>
      <w:r>
        <w:t xml:space="preserve">World Bank Doing Business indicators</w:t>
      </w:r>
    </w:p>
    <w:p>
      <w:pPr>
        <w:pStyle w:val="ListParagraph"/>
        <w:numPr>
          <w:ilvl w:val="0"/>
          <w:numId w:val="2"/>
        </w:numPr>
      </w:pPr>
      <w:r>
        <w:t xml:space="preserve">OECD FDI Regulatory Restrictiveness Index</w:t>
      </w:r>
    </w:p>
    <w:p>
      <w:pPr>
        <w:pStyle w:val="ListParagraph"/>
        <w:numPr>
          <w:ilvl w:val="0"/>
          <w:numId w:val="2"/>
        </w:numPr>
      </w:pPr>
      <w:r>
        <w:t xml:space="preserve">UNCTAD Investment Policy Hub</w:t>
      </w:r>
    </w:p>
    <w:p>
      <w:pPr>
        <w:pStyle w:val="ListParagraph"/>
        <w:numPr>
          <w:ilvl w:val="0"/>
          <w:numId w:val="2"/>
        </w:numPr>
      </w:pPr>
      <w:r>
        <w:t xml:space="preserve">National investment promotion agencies</w:t>
      </w:r>
    </w:p>
    <w:p>
      <w:pPr>
        <w:pStyle w:val="ListParagraph"/>
        <w:numPr>
          <w:ilvl w:val="0"/>
          <w:numId w:val="2"/>
        </w:numPr>
      </w:pPr>
      <w:r>
        <w:t xml:space="preserve">Legal and regulatory frameworks from government websites</w:t>
      </w:r>
    </w:p>
    <w:p>
      <w:pPr>
        <w:pStyle w:val="ListParagraph"/>
        <w:numPr>
          <w:ilvl w:val="0"/>
          <w:numId w:val="2"/>
        </w:numPr>
      </w:pPr>
      <w:r>
        <w:t xml:space="preserve">Bloomberg NEF market outlook reports</w:t>
      </w:r>
    </w:p>
    <w:p>
      <w:pPr>
        <w:pStyle w:val="ListParagraph"/>
        <w:numPr>
          <w:ilvl w:val="0"/>
          <w:numId w:val="2"/>
        </w:numPr>
      </w:pPr>
      <w:r>
        <w:t xml:space="preserve">Trade associations and chambers of commerce</w:t>
      </w:r>
    </w:p>
    <w:p>
      <w:pPr>
        <w:pStyle w:val="ListParagraph"/>
        <w:numPr>
          <w:ilvl w:val="0"/>
          <w:numId w:val="2"/>
        </w:numPr>
      </w:pPr>
      <w:r>
        <w:t xml:space="preserve">Legal firm country guides (Norton Rose, Baker McKenzie)</w:t>
      </w:r>
    </w:p>
    <w:p>
      <w:r>
        <w:t xml:space="preserve"/>
      </w:r>
    </w:p>
    <w:p>
      <w:pPr>
        <w:pStyle w:val="Heading3"/>
      </w:pPr>
      <w:r>
        <w:t xml:space="preserve">Update Frequency</w:t>
      </w:r>
    </w:p>
    <w:p>
      <w:r>
        <w:t xml:space="preserve">Annual review; regulations can change with new governments or policy shifts.</w:t>
      </w:r>
    </w:p>
    <w:p>
      <w:r>
        <w:t xml:space="preserve"/>
      </w:r>
    </w:p>
    <w:p>
      <w:pPr>
        <w:pStyle w:val="Heading2"/>
      </w:pPr>
      <w:r>
        <w:t xml:space="preserve">2.14 Policy Track Record</w:t>
      </w:r>
    </w:p>
    <w:p>
      <w:pPr>
        <w:pStyle w:val="Heading3"/>
      </w:pPr>
      <w:r>
        <w:t xml:space="preserve">Required Data</w:t>
      </w:r>
    </w:p>
    <w:p>
      <w:pPr>
        <w:pStyle w:val="ListParagraph"/>
        <w:numPr>
          <w:ilvl w:val="0"/>
          <w:numId w:val="2"/>
        </w:numPr>
      </w:pPr>
      <w:r>
        <w:t xml:space="preserve">Historical auction/tender results vs. targets</w:t>
      </w:r>
    </w:p>
    <w:p>
      <w:pPr>
        <w:pStyle w:val="ListParagraph"/>
        <w:numPr>
          <w:ilvl w:val="0"/>
          <w:numId w:val="2"/>
        </w:numPr>
      </w:pPr>
      <w:r>
        <w:t xml:space="preserve">Project commissioning rates (% of awarded capacity commissioned)</w:t>
      </w:r>
    </w:p>
    <w:p>
      <w:pPr>
        <w:pStyle w:val="ListParagraph"/>
        <w:numPr>
          <w:ilvl w:val="0"/>
          <w:numId w:val="2"/>
        </w:numPr>
      </w:pPr>
      <w:r>
        <w:t xml:space="preserve">Subscription rates for procurement rounds</w:t>
      </w:r>
    </w:p>
    <w:p>
      <w:pPr>
        <w:pStyle w:val="ListParagraph"/>
        <w:numPr>
          <w:ilvl w:val="0"/>
          <w:numId w:val="2"/>
        </w:numPr>
      </w:pPr>
      <w:r>
        <w:t xml:space="preserve">Policy cancellations or retroactive changes</w:t>
      </w:r>
    </w:p>
    <w:p>
      <w:pPr>
        <w:pStyle w:val="ListParagraph"/>
        <w:numPr>
          <w:ilvl w:val="0"/>
          <w:numId w:val="2"/>
        </w:numPr>
      </w:pPr>
      <w:r>
        <w:t xml:space="preserve">Political consensus on renewable energy support</w:t>
      </w:r>
    </w:p>
    <w:p>
      <w:pPr>
        <w:pStyle w:val="ListParagraph"/>
        <w:numPr>
          <w:ilvl w:val="0"/>
          <w:numId w:val="2"/>
        </w:numPr>
      </w:pPr>
      <w:r>
        <w:t xml:space="preserve">Grid infrastructure alignment with targets</w:t>
      </w:r>
    </w:p>
    <w:p>
      <w:r>
        <w:t xml:space="preserve"/>
      </w:r>
    </w:p>
    <w:p>
      <w:pPr>
        <w:pStyle w:val="Heading3"/>
      </w:pPr>
      <w:r>
        <w:t xml:space="preserve">Data Sources</w:t>
      </w:r>
    </w:p>
    <w:p>
      <w:pPr>
        <w:pStyle w:val="ListParagraph"/>
        <w:numPr>
          <w:ilvl w:val="0"/>
          <w:numId w:val="2"/>
        </w:numPr>
      </w:pPr>
      <w:r>
        <w:t xml:space="preserve">Government energy ministry reports and press releases</w:t>
      </w:r>
    </w:p>
    <w:p>
      <w:pPr>
        <w:pStyle w:val="ListParagraph"/>
        <w:numPr>
          <w:ilvl w:val="0"/>
          <w:numId w:val="2"/>
        </w:numPr>
      </w:pPr>
      <w:r>
        <w:t xml:space="preserve">National renewable energy agencies</w:t>
      </w:r>
    </w:p>
    <w:p>
      <w:pPr>
        <w:pStyle w:val="ListParagraph"/>
        <w:numPr>
          <w:ilvl w:val="0"/>
          <w:numId w:val="2"/>
        </w:numPr>
      </w:pPr>
      <w:r>
        <w:t xml:space="preserve">Bloomberg NEF policy trackers</w:t>
      </w:r>
    </w:p>
    <w:p>
      <w:pPr>
        <w:pStyle w:val="ListParagraph"/>
        <w:numPr>
          <w:ilvl w:val="0"/>
          <w:numId w:val="2"/>
        </w:numPr>
      </w:pPr>
      <w:r>
        <w:t xml:space="preserve">IEA Policies and Measures Database</w:t>
      </w:r>
    </w:p>
    <w:p>
      <w:pPr>
        <w:pStyle w:val="ListParagraph"/>
        <w:numPr>
          <w:ilvl w:val="0"/>
          <w:numId w:val="2"/>
        </w:numPr>
      </w:pPr>
      <w:r>
        <w:t xml:space="preserve">REN21 policy status reports</w:t>
      </w:r>
    </w:p>
    <w:p>
      <w:pPr>
        <w:pStyle w:val="ListParagraph"/>
        <w:numPr>
          <w:ilvl w:val="0"/>
          <w:numId w:val="2"/>
        </w:numPr>
      </w:pPr>
      <w:r>
        <w:t xml:space="preserve">Industry news and trade publications</w:t>
      </w:r>
    </w:p>
    <w:p>
      <w:pPr>
        <w:pStyle w:val="ListParagraph"/>
        <w:numPr>
          <w:ilvl w:val="0"/>
          <w:numId w:val="2"/>
        </w:numPr>
      </w:pPr>
      <w:r>
        <w:t xml:space="preserve">Regulatory commission annual reports</w:t>
      </w:r>
    </w:p>
    <w:p>
      <w:r>
        <w:t xml:space="preserve"/>
      </w:r>
    </w:p>
    <w:p>
      <w:pPr>
        <w:pStyle w:val="Heading3"/>
      </w:pPr>
      <w:r>
        <w:t xml:space="preserve">Update Frequency</w:t>
      </w:r>
    </w:p>
    <w:p>
      <w:r>
        <w:t xml:space="preserve">Annual assessment; major policy changes require immediate review.</w:t>
      </w:r>
    </w:p>
    <w:p>
      <w:r>
        <w:t xml:space="preserve"/>
      </w:r>
    </w:p>
    <w:p>
      <w:pPr>
        <w:pStyle w:val="Heading2"/>
      </w:pPr>
      <w:r>
        <w:t xml:space="preserve">2.15 Power Market Size</w:t>
      </w:r>
    </w:p>
    <w:p>
      <w:pPr>
        <w:pStyle w:val="Heading3"/>
      </w:pPr>
      <w:r>
        <w:t xml:space="preserve">Required Data</w:t>
      </w:r>
    </w:p>
    <w:p>
      <w:pPr>
        <w:pStyle w:val="ListParagraph"/>
        <w:numPr>
          <w:ilvl w:val="0"/>
          <w:numId w:val="2"/>
        </w:numPr>
      </w:pPr>
      <w:r>
        <w:t xml:space="preserve">Total electricity generation (TWh)</w:t>
      </w:r>
    </w:p>
    <w:p>
      <w:pPr>
        <w:pStyle w:val="ListParagraph"/>
        <w:numPr>
          <w:ilvl w:val="0"/>
          <w:numId w:val="2"/>
        </w:numPr>
      </w:pPr>
      <w:r>
        <w:t xml:space="preserve">Total electricity consumption/demand (TWh)</w:t>
      </w:r>
    </w:p>
    <w:p>
      <w:pPr>
        <w:pStyle w:val="ListParagraph"/>
        <w:numPr>
          <w:ilvl w:val="0"/>
          <w:numId w:val="2"/>
        </w:numPr>
      </w:pPr>
      <w:r>
        <w:t xml:space="preserve">Peak demand (GW)</w:t>
      </w:r>
    </w:p>
    <w:p>
      <w:pPr>
        <w:pStyle w:val="ListParagraph"/>
        <w:numPr>
          <w:ilvl w:val="0"/>
          <w:numId w:val="2"/>
        </w:numPr>
      </w:pPr>
      <w:r>
        <w:t xml:space="preserve">Electricity generation by fuel source</w:t>
      </w:r>
    </w:p>
    <w:p>
      <w:pPr>
        <w:pStyle w:val="ListParagraph"/>
        <w:numPr>
          <w:ilvl w:val="0"/>
          <w:numId w:val="2"/>
        </w:numPr>
      </w:pPr>
      <w:r>
        <w:t xml:space="preserve">Historical growth rates</w:t>
      </w:r>
    </w:p>
    <w:p>
      <w:r>
        <w:t xml:space="preserve"/>
      </w:r>
    </w:p>
    <w:p>
      <w:pPr>
        <w:pStyle w:val="Heading3"/>
      </w:pPr>
      <w:r>
        <w:t xml:space="preserve">Data Sources</w:t>
      </w:r>
    </w:p>
    <w:p>
      <w:pPr>
        <w:pStyle w:val="ListParagraph"/>
        <w:numPr>
          <w:ilvl w:val="0"/>
          <w:numId w:val="2"/>
        </w:numPr>
      </w:pPr>
      <w:r>
        <w:t xml:space="preserve">IEA Electricity Information</w:t>
      </w:r>
    </w:p>
    <w:p>
      <w:pPr>
        <w:pStyle w:val="ListParagraph"/>
        <w:numPr>
          <w:ilvl w:val="0"/>
          <w:numId w:val="2"/>
        </w:numPr>
      </w:pPr>
      <w:r>
        <w:t xml:space="preserve">IEA World Energy Statistics</w:t>
      </w:r>
    </w:p>
    <w:p>
      <w:pPr>
        <w:pStyle w:val="ListParagraph"/>
        <w:numPr>
          <w:ilvl w:val="0"/>
          <w:numId w:val="2"/>
        </w:numPr>
      </w:pPr>
      <w:r>
        <w:t xml:space="preserve">U.S. EIA International Energy Statistics</w:t>
      </w:r>
    </w:p>
    <w:p>
      <w:pPr>
        <w:pStyle w:val="ListParagraph"/>
        <w:numPr>
          <w:ilvl w:val="0"/>
          <w:numId w:val="2"/>
        </w:numPr>
      </w:pPr>
      <w:r>
        <w:t xml:space="preserve">BP Statistical Review of World Energy</w:t>
      </w:r>
    </w:p>
    <w:p>
      <w:pPr>
        <w:pStyle w:val="ListParagraph"/>
        <w:numPr>
          <w:ilvl w:val="0"/>
          <w:numId w:val="2"/>
        </w:numPr>
      </w:pPr>
      <w:r>
        <w:t xml:space="preserve">IRENA Renewable Energy Statistics</w:t>
      </w:r>
    </w:p>
    <w:p>
      <w:pPr>
        <w:pStyle w:val="ListParagraph"/>
        <w:numPr>
          <w:ilvl w:val="0"/>
          <w:numId w:val="2"/>
        </w:numPr>
      </w:pPr>
      <w:r>
        <w:t xml:space="preserve">National statistical offices</w:t>
      </w:r>
    </w:p>
    <w:p>
      <w:pPr>
        <w:pStyle w:val="ListParagraph"/>
        <w:numPr>
          <w:ilvl w:val="0"/>
          <w:numId w:val="2"/>
        </w:numPr>
      </w:pPr>
      <w:r>
        <w:t xml:space="preserve">World Bank World Development Indicators</w:t>
      </w:r>
    </w:p>
    <w:p>
      <w:pPr>
        <w:pStyle w:val="ListParagraph"/>
        <w:numPr>
          <w:ilvl w:val="0"/>
          <w:numId w:val="2"/>
        </w:numPr>
      </w:pPr>
      <w:r>
        <w:t xml:space="preserve">Enerdata Global Energy Statistical Yearbook</w:t>
      </w:r>
    </w:p>
    <w:p>
      <w:r>
        <w:t xml:space="preserve"/>
      </w:r>
    </w:p>
    <w:p>
      <w:pPr>
        <w:pStyle w:val="Heading3"/>
      </w:pPr>
      <w:r>
        <w:t xml:space="preserve">Update Frequency</w:t>
      </w:r>
    </w:p>
    <w:p>
      <w:r>
        <w:t xml:space="preserve">Annual updates; data typically available with 1-2 year lag.</w:t>
      </w:r>
    </w:p>
    <w:p>
      <w:r>
        <w:t xml:space="preserve"/>
      </w:r>
    </w:p>
    <w:p>
      <w:pPr>
        <w:pStyle w:val="Heading2"/>
      </w:pPr>
      <w:r>
        <w:t xml:space="preserve">2.16 Renewables Penetration</w:t>
      </w:r>
    </w:p>
    <w:p>
      <w:pPr>
        <w:pStyle w:val="Heading3"/>
      </w:pPr>
      <w:r>
        <w:t xml:space="preserve">Required Data</w:t>
      </w:r>
    </w:p>
    <w:p>
      <w:pPr>
        <w:pStyle w:val="ListParagraph"/>
        <w:numPr>
          <w:ilvl w:val="0"/>
          <w:numId w:val="2"/>
        </w:numPr>
      </w:pPr>
      <w:r>
        <w:t xml:space="preserve">Non-hydro renewable electricity generation (TWh)</w:t>
      </w:r>
    </w:p>
    <w:p>
      <w:pPr>
        <w:pStyle w:val="ListParagraph"/>
        <w:numPr>
          <w:ilvl w:val="0"/>
          <w:numId w:val="2"/>
        </w:numPr>
      </w:pPr>
      <w:r>
        <w:t xml:space="preserve">Total electricity generation (TWh)</w:t>
      </w:r>
    </w:p>
    <w:p>
      <w:pPr>
        <w:pStyle w:val="ListParagraph"/>
        <w:numPr>
          <w:ilvl w:val="0"/>
          <w:numId w:val="2"/>
        </w:numPr>
      </w:pPr>
      <w:r>
        <w:t xml:space="preserve">Renewable energy share in generation mix (%)</w:t>
      </w:r>
    </w:p>
    <w:p>
      <w:pPr>
        <w:pStyle w:val="ListParagraph"/>
        <w:numPr>
          <w:ilvl w:val="0"/>
          <w:numId w:val="2"/>
        </w:numPr>
      </w:pPr>
      <w:r>
        <w:t xml:space="preserve">VRE (Variable Renewable Energy) penetration levels</w:t>
      </w:r>
    </w:p>
    <w:p>
      <w:pPr>
        <w:pStyle w:val="ListParagraph"/>
        <w:numPr>
          <w:ilvl w:val="0"/>
          <w:numId w:val="2"/>
        </w:numPr>
      </w:pPr>
      <w:r>
        <w:t xml:space="preserve">Generation by technology (solar, wind, biomass, etc.)</w:t>
      </w:r>
    </w:p>
    <w:p>
      <w:r>
        <w:t xml:space="preserve"/>
      </w:r>
    </w:p>
    <w:p>
      <w:pPr>
        <w:pStyle w:val="Heading3"/>
      </w:pPr>
      <w:r>
        <w:t xml:space="preserve">Data Sources</w:t>
      </w:r>
    </w:p>
    <w:p>
      <w:pPr>
        <w:pStyle w:val="ListParagraph"/>
        <w:numPr>
          <w:ilvl w:val="0"/>
          <w:numId w:val="2"/>
        </w:numPr>
      </w:pPr>
      <w:r>
        <w:t xml:space="preserve">IEA Renewables Information</w:t>
      </w:r>
    </w:p>
    <w:p>
      <w:pPr>
        <w:pStyle w:val="ListParagraph"/>
        <w:numPr>
          <w:ilvl w:val="0"/>
          <w:numId w:val="2"/>
        </w:numPr>
      </w:pPr>
      <w:r>
        <w:t xml:space="preserve">IRENA Renewable Energy Statistics</w:t>
      </w:r>
    </w:p>
    <w:p>
      <w:pPr>
        <w:pStyle w:val="ListParagraph"/>
        <w:numPr>
          <w:ilvl w:val="0"/>
          <w:numId w:val="2"/>
        </w:numPr>
      </w:pPr>
      <w:r>
        <w:t xml:space="preserve">Ember Climate annual electricity review</w:t>
      </w:r>
    </w:p>
    <w:p>
      <w:pPr>
        <w:pStyle w:val="ListParagraph"/>
        <w:numPr>
          <w:ilvl w:val="0"/>
          <w:numId w:val="2"/>
        </w:numPr>
      </w:pPr>
      <w:r>
        <w:t xml:space="preserve">U.S. EIA International Energy Statistics</w:t>
      </w:r>
    </w:p>
    <w:p>
      <w:pPr>
        <w:pStyle w:val="ListParagraph"/>
        <w:numPr>
          <w:ilvl w:val="0"/>
          <w:numId w:val="2"/>
        </w:numPr>
      </w:pPr>
      <w:r>
        <w:t xml:space="preserve">BP Statistical Review of World Energy</w:t>
      </w:r>
    </w:p>
    <w:p>
      <w:pPr>
        <w:pStyle w:val="ListParagraph"/>
        <w:numPr>
          <w:ilvl w:val="0"/>
          <w:numId w:val="2"/>
        </w:numPr>
      </w:pPr>
      <w:r>
        <w:t xml:space="preserve">National TSO generation reports</w:t>
      </w:r>
    </w:p>
    <w:p>
      <w:pPr>
        <w:pStyle w:val="ListParagraph"/>
        <w:numPr>
          <w:ilvl w:val="0"/>
          <w:numId w:val="2"/>
        </w:numPr>
      </w:pPr>
      <w:r>
        <w:t xml:space="preserve">REN21 Global Status Reports</w:t>
      </w:r>
    </w:p>
    <w:p>
      <w:r>
        <w:t xml:space="preserve"/>
      </w:r>
    </w:p>
    <w:p>
      <w:pPr>
        <w:pStyle w:val="Heading3"/>
      </w:pPr>
      <w:r>
        <w:t xml:space="preserve">Update Frequency</w:t>
      </w:r>
    </w:p>
    <w:p>
      <w:r>
        <w:t xml:space="preserve">Annual updates; some TSOs provide monthly or quarterly generation data.</w:t>
      </w:r>
    </w:p>
    <w:p>
      <w:r>
        <w:t xml:space="preserve"/>
      </w:r>
    </w:p>
    <w:p>
      <w:pPr>
        <w:pStyle w:val="Heading2"/>
      </w:pPr>
      <w:r>
        <w:t xml:space="preserve">2.17 Revenue Stream Stability</w:t>
      </w:r>
    </w:p>
    <w:p>
      <w:pPr>
        <w:pStyle w:val="Heading3"/>
      </w:pPr>
      <w:r>
        <w:t xml:space="preserve">Required Data</w:t>
      </w:r>
    </w:p>
    <w:p>
      <w:pPr>
        <w:pStyle w:val="ListParagraph"/>
        <w:numPr>
          <w:ilvl w:val="0"/>
          <w:numId w:val="2"/>
        </w:numPr>
      </w:pPr>
      <w:r>
        <w:t xml:space="preserve">Feed-in tariff (FIT) programs and rates</w:t>
      </w:r>
    </w:p>
    <w:p>
      <w:pPr>
        <w:pStyle w:val="ListParagraph"/>
        <w:numPr>
          <w:ilvl w:val="0"/>
          <w:numId w:val="2"/>
        </w:numPr>
      </w:pPr>
      <w:r>
        <w:t xml:space="preserve">Contract-for-difference (CfD) mechanisms</w:t>
      </w:r>
    </w:p>
    <w:p>
      <w:pPr>
        <w:pStyle w:val="ListParagraph"/>
        <w:numPr>
          <w:ilvl w:val="0"/>
          <w:numId w:val="2"/>
        </w:numPr>
      </w:pPr>
      <w:r>
        <w:t xml:space="preserve">Competitive tender/auction programs</w:t>
      </w:r>
    </w:p>
    <w:p>
      <w:pPr>
        <w:pStyle w:val="ListParagraph"/>
        <w:numPr>
          <w:ilvl w:val="0"/>
          <w:numId w:val="2"/>
        </w:numPr>
      </w:pPr>
      <w:r>
        <w:t xml:space="preserve">Wholesale market structure and price volatility</w:t>
      </w:r>
    </w:p>
    <w:p>
      <w:pPr>
        <w:pStyle w:val="ListParagraph"/>
        <w:numPr>
          <w:ilvl w:val="0"/>
          <w:numId w:val="2"/>
        </w:numPr>
      </w:pPr>
      <w:r>
        <w:t xml:space="preserve">Corporate PPA market development and volumes</w:t>
      </w:r>
    </w:p>
    <w:p>
      <w:pPr>
        <w:pStyle w:val="ListParagraph"/>
        <w:numPr>
          <w:ilvl w:val="0"/>
          <w:numId w:val="2"/>
        </w:numPr>
      </w:pPr>
      <w:r>
        <w:t xml:space="preserve">Renewable energy certificate (REC) markets</w:t>
      </w:r>
    </w:p>
    <w:p>
      <w:pPr>
        <w:pStyle w:val="ListParagraph"/>
        <w:numPr>
          <w:ilvl w:val="0"/>
          <w:numId w:val="2"/>
        </w:numPr>
      </w:pPr>
      <w:r>
        <w:t xml:space="preserve">Green certificate/guarantee of origin markets</w:t>
      </w:r>
    </w:p>
    <w:p>
      <w:r>
        <w:t xml:space="preserve"/>
      </w:r>
    </w:p>
    <w:p>
      <w:pPr>
        <w:pStyle w:val="Heading3"/>
      </w:pPr>
      <w:r>
        <w:t xml:space="preserve">Data Sources</w:t>
      </w:r>
    </w:p>
    <w:p>
      <w:pPr>
        <w:pStyle w:val="ListParagraph"/>
        <w:numPr>
          <w:ilvl w:val="0"/>
          <w:numId w:val="2"/>
        </w:numPr>
      </w:pPr>
      <w:r>
        <w:t xml:space="preserve">IEA Policies and Measures Database</w:t>
      </w:r>
    </w:p>
    <w:p>
      <w:pPr>
        <w:pStyle w:val="ListParagraph"/>
        <w:numPr>
          <w:ilvl w:val="0"/>
          <w:numId w:val="2"/>
        </w:numPr>
      </w:pPr>
      <w:r>
        <w:t xml:space="preserve">National energy regulatory authorities</w:t>
      </w:r>
    </w:p>
    <w:p>
      <w:pPr>
        <w:pStyle w:val="ListParagraph"/>
        <w:numPr>
          <w:ilvl w:val="0"/>
          <w:numId w:val="2"/>
        </w:numPr>
      </w:pPr>
      <w:r>
        <w:t xml:space="preserve">Bloomberg NEF corporate PPA databases</w:t>
      </w:r>
    </w:p>
    <w:p>
      <w:pPr>
        <w:pStyle w:val="ListParagraph"/>
        <w:numPr>
          <w:ilvl w:val="0"/>
          <w:numId w:val="2"/>
        </w:numPr>
      </w:pPr>
      <w:r>
        <w:t xml:space="preserve">RE-Source Platform (corporate PPA data for Europe)</w:t>
      </w:r>
    </w:p>
    <w:p>
      <w:pPr>
        <w:pStyle w:val="ListParagraph"/>
        <w:numPr>
          <w:ilvl w:val="0"/>
          <w:numId w:val="2"/>
        </w:numPr>
      </w:pPr>
      <w:r>
        <w:t xml:space="preserve">LevelTen Energy PPA price indices</w:t>
      </w:r>
    </w:p>
    <w:p>
      <w:pPr>
        <w:pStyle w:val="ListParagraph"/>
        <w:numPr>
          <w:ilvl w:val="0"/>
          <w:numId w:val="2"/>
        </w:numPr>
      </w:pPr>
      <w:r>
        <w:t xml:space="preserve">Pexapark PPA platform data</w:t>
      </w:r>
    </w:p>
    <w:p>
      <w:pPr>
        <w:pStyle w:val="ListParagraph"/>
        <w:numPr>
          <w:ilvl w:val="0"/>
          <w:numId w:val="2"/>
        </w:numPr>
      </w:pPr>
      <w:r>
        <w:t xml:space="preserve">National REC/certificate registries</w:t>
      </w:r>
    </w:p>
    <w:p>
      <w:r>
        <w:t xml:space="preserve"/>
      </w:r>
    </w:p>
    <w:p>
      <w:pPr>
        <w:pStyle w:val="Heading3"/>
      </w:pPr>
      <w:r>
        <w:t xml:space="preserve">Update Frequency</w:t>
      </w:r>
    </w:p>
    <w:p>
      <w:r>
        <w:t xml:space="preserve">Annual review of mechanisms; quarterly tracking of PPA market volumes.</w:t>
      </w:r>
    </w:p>
    <w:p>
      <w:r>
        <w:t xml:space="preserve"/>
      </w:r>
    </w:p>
    <w:p>
      <w:pPr>
        <w:pStyle w:val="Heading2"/>
      </w:pPr>
      <w:r>
        <w:t xml:space="preserve">2.18 Support Schemes</w:t>
      </w:r>
    </w:p>
    <w:p>
      <w:pPr>
        <w:pStyle w:val="Heading3"/>
      </w:pPr>
      <w:r>
        <w:t xml:space="preserve">Required Data</w:t>
      </w:r>
    </w:p>
    <w:p>
      <w:pPr>
        <w:pStyle w:val="ListParagraph"/>
        <w:numPr>
          <w:ilvl w:val="0"/>
          <w:numId w:val="2"/>
        </w:numPr>
      </w:pPr>
      <w:r>
        <w:t xml:space="preserve">Types of support schemes in place (FIT, auctions, tax credits, etc.)</w:t>
      </w:r>
    </w:p>
    <w:p>
      <w:pPr>
        <w:pStyle w:val="ListParagraph"/>
        <w:numPr>
          <w:ilvl w:val="0"/>
          <w:numId w:val="2"/>
        </w:numPr>
      </w:pPr>
      <w:r>
        <w:t xml:space="preserve">Installed capacity receiving support by scheme type (MW or GW)</w:t>
      </w:r>
    </w:p>
    <w:p>
      <w:pPr>
        <w:pStyle w:val="ListParagraph"/>
        <w:numPr>
          <w:ilvl w:val="0"/>
          <w:numId w:val="2"/>
        </w:numPr>
      </w:pPr>
      <w:r>
        <w:t xml:space="preserve">Share of total capacity with support (%)</w:t>
      </w:r>
    </w:p>
    <w:p>
      <w:pPr>
        <w:pStyle w:val="ListParagraph"/>
        <w:numPr>
          <w:ilvl w:val="0"/>
          <w:numId w:val="2"/>
        </w:numPr>
      </w:pPr>
      <w:r>
        <w:t xml:space="preserve">Budget allocations for renewable energy support</w:t>
      </w:r>
    </w:p>
    <w:p>
      <w:pPr>
        <w:pStyle w:val="ListParagraph"/>
        <w:numPr>
          <w:ilvl w:val="0"/>
          <w:numId w:val="2"/>
        </w:numPr>
      </w:pPr>
      <w:r>
        <w:t xml:space="preserve">Duration and stability of support programs</w:t>
      </w:r>
    </w:p>
    <w:p>
      <w:r>
        <w:t xml:space="preserve"/>
      </w:r>
    </w:p>
    <w:p>
      <w:pPr>
        <w:pStyle w:val="Heading3"/>
      </w:pPr>
      <w:r>
        <w:t xml:space="preserve">Data Sources</w:t>
      </w:r>
    </w:p>
    <w:p>
      <w:pPr>
        <w:pStyle w:val="ListParagraph"/>
        <w:numPr>
          <w:ilvl w:val="0"/>
          <w:numId w:val="2"/>
        </w:numPr>
      </w:pPr>
      <w:r>
        <w:t xml:space="preserve">IEA Policies and Measures Database</w:t>
      </w:r>
    </w:p>
    <w:p>
      <w:pPr>
        <w:pStyle w:val="ListParagraph"/>
        <w:numPr>
          <w:ilvl w:val="0"/>
          <w:numId w:val="2"/>
        </w:numPr>
      </w:pPr>
      <w:r>
        <w:t xml:space="preserve">REN21 Renewables Global Status Report</w:t>
      </w:r>
    </w:p>
    <w:p>
      <w:pPr>
        <w:pStyle w:val="ListParagraph"/>
        <w:numPr>
          <w:ilvl w:val="0"/>
          <w:numId w:val="2"/>
        </w:numPr>
      </w:pPr>
      <w:r>
        <w:t xml:space="preserve">IRENA policy databases</w:t>
      </w:r>
    </w:p>
    <w:p>
      <w:pPr>
        <w:pStyle w:val="ListParagraph"/>
        <w:numPr>
          <w:ilvl w:val="0"/>
          <w:numId w:val="2"/>
        </w:numPr>
      </w:pPr>
      <w:r>
        <w:t xml:space="preserve">National renewable energy agencies</w:t>
      </w:r>
    </w:p>
    <w:p>
      <w:pPr>
        <w:pStyle w:val="ListParagraph"/>
        <w:numPr>
          <w:ilvl w:val="0"/>
          <w:numId w:val="2"/>
        </w:numPr>
      </w:pPr>
      <w:r>
        <w:t xml:space="preserve">Government budget documents</w:t>
      </w:r>
    </w:p>
    <w:p>
      <w:pPr>
        <w:pStyle w:val="ListParagraph"/>
        <w:numPr>
          <w:ilvl w:val="0"/>
          <w:numId w:val="2"/>
        </w:numPr>
      </w:pPr>
      <w:r>
        <w:t xml:space="preserve">Bloomberg NEF policy tracking</w:t>
      </w:r>
    </w:p>
    <w:p>
      <w:pPr>
        <w:pStyle w:val="ListParagraph"/>
        <w:numPr>
          <w:ilvl w:val="0"/>
          <w:numId w:val="2"/>
        </w:numPr>
      </w:pPr>
      <w:r>
        <w:t xml:space="preserve">EU Commission support scheme reports (for EU markets)</w:t>
      </w:r>
    </w:p>
    <w:p>
      <w:r>
        <w:t xml:space="preserve"/>
      </w:r>
    </w:p>
    <w:p>
      <w:pPr>
        <w:pStyle w:val="Heading3"/>
      </w:pPr>
      <w:r>
        <w:t xml:space="preserve">Update Frequency</w:t>
      </w:r>
    </w:p>
    <w:p>
      <w:r>
        <w:t xml:space="preserve">Annual updates; policy changes may require more frequent revisions.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3. Data Source Summary</w:t>
      </w:r>
    </w:p>
    <w:p>
      <w:r>
        <w:t xml:space="preserve"/>
      </w:r>
    </w:p>
    <w:p>
      <w:pPr>
        <w:pStyle w:val="Heading2"/>
      </w:pPr>
      <w:r>
        <w:t xml:space="preserve">3.1 Key Commercial Data Providers</w:t>
      </w:r>
    </w:p>
    <w:p>
      <w:pPr>
        <w:pStyle w:val="ListParagraph"/>
        <w:numPr>
          <w:ilvl w:val="0"/>
          <w:numId w:val="2"/>
        </w:numPr>
      </w:pPr>
      <w:r>
        <w:t xml:space="preserve">Bloomberg NEF (New Energy Finance) - Comprehensive renewable energy market intelligence</w:t>
      </w:r>
    </w:p>
    <w:p>
      <w:pPr>
        <w:pStyle w:val="ListParagraph"/>
        <w:numPr>
          <w:ilvl w:val="0"/>
          <w:numId w:val="2"/>
        </w:numPr>
      </w:pPr>
      <w:r>
        <w:t xml:space="preserve">Wood Mackenzie Power &amp; Renewables - Market analysis and project databases</w:t>
      </w:r>
    </w:p>
    <w:p>
      <w:pPr>
        <w:pStyle w:val="ListParagraph"/>
        <w:numPr>
          <w:ilvl w:val="0"/>
          <w:numId w:val="2"/>
        </w:numPr>
      </w:pPr>
      <w:r>
        <w:t xml:space="preserve">IJ Global - Project finance database</w:t>
      </w:r>
    </w:p>
    <w:p>
      <w:pPr>
        <w:pStyle w:val="ListParagraph"/>
        <w:numPr>
          <w:ilvl w:val="0"/>
          <w:numId w:val="2"/>
        </w:numPr>
      </w:pPr>
      <w:r>
        <w:t xml:space="preserve">S&amp;P Global Ratings - Credit ratings and risk assessments</w:t>
      </w:r>
    </w:p>
    <w:p>
      <w:pPr>
        <w:pStyle w:val="ListParagraph"/>
        <w:numPr>
          <w:ilvl w:val="0"/>
          <w:numId w:val="2"/>
        </w:numPr>
      </w:pPr>
      <w:r>
        <w:t xml:space="preserve">Moody's Investors Service - Sovereign and corporate ratings</w:t>
      </w:r>
    </w:p>
    <w:p>
      <w:r>
        <w:t xml:space="preserve"/>
      </w:r>
    </w:p>
    <w:p>
      <w:pPr>
        <w:pStyle w:val="Heading2"/>
      </w:pPr>
      <w:r>
        <w:t xml:space="preserve">3.2 Key Public/Free Data Sources</w:t>
      </w:r>
    </w:p>
    <w:p>
      <w:pPr>
        <w:pStyle w:val="ListParagraph"/>
        <w:numPr>
          <w:ilvl w:val="0"/>
          <w:numId w:val="2"/>
        </w:numPr>
      </w:pPr>
      <w:r>
        <w:t xml:space="preserve">IEA (International Energy Agency) - Energy statistics, policies, and outlooks</w:t>
      </w:r>
    </w:p>
    <w:p>
      <w:pPr>
        <w:pStyle w:val="ListParagraph"/>
        <w:numPr>
          <w:ilvl w:val="0"/>
          <w:numId w:val="2"/>
        </w:numPr>
      </w:pPr>
      <w:r>
        <w:t xml:space="preserve">IRENA (International Renewable Energy Agency) - Renewable capacity and cost data</w:t>
      </w:r>
    </w:p>
    <w:p>
      <w:pPr>
        <w:pStyle w:val="ListParagraph"/>
        <w:numPr>
          <w:ilvl w:val="0"/>
          <w:numId w:val="2"/>
        </w:numPr>
      </w:pPr>
      <w:r>
        <w:t xml:space="preserve">World Bank - Governance indicators, economic data, development statistics</w:t>
      </w:r>
    </w:p>
    <w:p>
      <w:pPr>
        <w:pStyle w:val="ListParagraph"/>
        <w:numPr>
          <w:ilvl w:val="0"/>
          <w:numId w:val="2"/>
        </w:numPr>
      </w:pPr>
      <w:r>
        <w:t xml:space="preserve">Global Solar Atlas / Global Wind Atlas - Resource assessment tools</w:t>
      </w:r>
    </w:p>
    <w:p>
      <w:pPr>
        <w:pStyle w:val="ListParagraph"/>
        <w:numPr>
          <w:ilvl w:val="0"/>
          <w:numId w:val="2"/>
        </w:numPr>
      </w:pPr>
      <w:r>
        <w:t xml:space="preserve">REN21 - Global renewable energy status reports</w:t>
      </w:r>
    </w:p>
    <w:p>
      <w:pPr>
        <w:pStyle w:val="ListParagraph"/>
        <w:numPr>
          <w:ilvl w:val="0"/>
          <w:numId w:val="2"/>
        </w:numPr>
      </w:pPr>
      <w:r>
        <w:t xml:space="preserve">U.S. EIA - International energy statistics</w:t>
      </w:r>
    </w:p>
    <w:p>
      <w:pPr>
        <w:pStyle w:val="ListParagraph"/>
        <w:numPr>
          <w:ilvl w:val="0"/>
          <w:numId w:val="2"/>
        </w:numPr>
      </w:pPr>
      <w:r>
        <w:t xml:space="preserve">UNFCCC - Climate commitments and NDCs</w:t>
      </w:r>
    </w:p>
    <w:p>
      <w:r>
        <w:t xml:space="preserve"/>
      </w:r>
    </w:p>
    <w:p>
      <w:pPr>
        <w:pStyle w:val="Heading2"/>
      </w:pPr>
      <w:r>
        <w:t xml:space="preserve">3.3 Government and Regulatory Sources</w:t>
      </w:r>
    </w:p>
    <w:p>
      <w:pPr>
        <w:pStyle w:val="ListParagraph"/>
        <w:numPr>
          <w:ilvl w:val="0"/>
          <w:numId w:val="2"/>
        </w:numPr>
      </w:pPr>
      <w:r>
        <w:t xml:space="preserve">National energy ministries and regulatory authorities</w:t>
      </w:r>
    </w:p>
    <w:p>
      <w:pPr>
        <w:pStyle w:val="ListParagraph"/>
        <w:numPr>
          <w:ilvl w:val="0"/>
          <w:numId w:val="2"/>
        </w:numPr>
      </w:pPr>
      <w:r>
        <w:t xml:space="preserve">Transmission system operators (TSOs)</w:t>
      </w:r>
    </w:p>
    <w:p>
      <w:pPr>
        <w:pStyle w:val="ListParagraph"/>
        <w:numPr>
          <w:ilvl w:val="0"/>
          <w:numId w:val="2"/>
        </w:numPr>
      </w:pPr>
      <w:r>
        <w:t xml:space="preserve">Central banks and treasury departments</w:t>
      </w:r>
    </w:p>
    <w:p>
      <w:pPr>
        <w:pStyle w:val="ListParagraph"/>
        <w:numPr>
          <w:ilvl w:val="0"/>
          <w:numId w:val="2"/>
        </w:numPr>
      </w:pPr>
      <w:r>
        <w:t xml:space="preserve">National statistical offices</w:t>
      </w:r>
    </w:p>
    <w:p>
      <w:r>
        <w:t xml:space="preserve"/>
      </w:r>
    </w:p>
    <w:p>
      <w:pPr>
        <w:pStyle w:val="Heading1"/>
      </w:pPr>
      <w:r>
        <w:t xml:space="preserve">4. Data Collection Best Practices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Establish consistent data collection schedules aligned with source publication dates</w:t>
      </w:r>
    </w:p>
    <w:p>
      <w:pPr>
        <w:pStyle w:val="ListParagraph"/>
        <w:numPr>
          <w:ilvl w:val="0"/>
          <w:numId w:val="2"/>
        </w:numPr>
      </w:pPr>
      <w:r>
        <w:t xml:space="preserve">Document data vintage and methodology for each parameter</w:t>
      </w:r>
    </w:p>
    <w:p>
      <w:pPr>
        <w:pStyle w:val="ListParagraph"/>
        <w:numPr>
          <w:ilvl w:val="0"/>
          <w:numId w:val="2"/>
        </w:numPr>
      </w:pPr>
      <w:r>
        <w:t xml:space="preserve">Validate commercial data against public sources where possible</w:t>
      </w:r>
    </w:p>
    <w:p>
      <w:pPr>
        <w:pStyle w:val="ListParagraph"/>
        <w:numPr>
          <w:ilvl w:val="0"/>
          <w:numId w:val="2"/>
        </w:numPr>
      </w:pPr>
      <w:r>
        <w:t xml:space="preserve">Maintain audit trail of data sources and collection dates</w:t>
      </w:r>
    </w:p>
    <w:p>
      <w:pPr>
        <w:pStyle w:val="ListParagraph"/>
        <w:numPr>
          <w:ilvl w:val="0"/>
          <w:numId w:val="2"/>
        </w:numPr>
      </w:pPr>
      <w:r>
        <w:t xml:space="preserve">Use expert judgment documented with clear rationale when data is unavailable</w:t>
      </w:r>
    </w:p>
    <w:p>
      <w:pPr>
        <w:pStyle w:val="ListParagraph"/>
        <w:numPr>
          <w:ilvl w:val="0"/>
          <w:numId w:val="2"/>
        </w:numPr>
      </w:pPr>
      <w:r>
        <w:t xml:space="preserve">Implement version control for parameter calculations and scoring methodologies</w:t>
      </w:r>
    </w:p>
    <w:p>
      <w:pPr>
        <w:pStyle w:val="ListParagraph"/>
        <w:numPr>
          <w:ilvl w:val="0"/>
          <w:numId w:val="2"/>
        </w:numPr>
      </w:pPr>
      <w:r>
        <w:t xml:space="preserve">Cross-reference multiple sources for critical parameters to ensure accuracy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240"/>
      <w:jc w:val="center"/>
    </w:pPr>
    <w:rPr>
      <w:rFonts w:ascii="Arial" w:cs="Arial" w:eastAsia="Arial" w:hAnsi="Arial"/>
      <w:b/>
      <w:bCs/>
      <w:color w:val="000000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80"/>
      <w:outlineLvl w:val="1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120"/>
      <w:outlineLvl w:val="2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2025-12-15T06:05:15.400Z</dcterms:created>
  <dcterms:modified xsi:type="dcterms:W3CDTF">2025-12-15T06:05:15.401Z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