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Times New Roman" w:hAnsi="Times New Roman"/>
          <w:b/>
          <w:color w:val="000000"/>
          <w:sz w:val="36"/>
        </w:rPr>
        <w:t>CHAPTER 5</w:t>
        <w:br/>
        <w:t>RESULTS</w:t>
      </w:r>
    </w:p>
    <w:p>
      <w:pPr>
        <w:spacing w:before="280" w:after="160"/>
        <w:jc w:val="left"/>
      </w:pPr>
      <w:r>
        <w:rPr>
          <w:rFonts w:ascii="Times New Roman" w:hAnsi="Times New Roman"/>
          <w:b/>
          <w:color w:val="000000"/>
          <w:sz w:val="30"/>
        </w:rPr>
        <w:t>5.1 Resulting Screens</w:t>
      </w:r>
    </w:p>
    <w:p>
      <w:pPr>
        <w:spacing w:before="240" w:after="120"/>
        <w:jc w:val="left"/>
      </w:pPr>
      <w:r>
        <w:rPr>
          <w:rFonts w:ascii="Times New Roman" w:hAnsi="Times New Roman"/>
          <w:b/>
          <w:color w:val="000000"/>
          <w:sz w:val="26"/>
        </w:rPr>
        <w:t>5.1.1 Dashboard Overview</w:t>
      </w:r>
    </w:p>
    <w:p>
      <w:pPr>
        <w:spacing w:before="0" w:after="120" w:line="276" w:lineRule="auto"/>
        <w:jc w:val="both"/>
      </w:pPr>
      <w:r>
        <w:rPr>
          <w:rFonts w:ascii="Times New Roman" w:hAnsi="Times New Roman"/>
          <w:b w:val="0"/>
          <w:i w:val="0"/>
          <w:color w:val="000000"/>
          <w:sz w:val="24"/>
        </w:rPr>
        <w:t>The web-based clinical monitoring dashboard serves as the primary real-time visualization interface for healthcare practitioners. It aggregates live patient telemetry ingested from the Stage 2 Raspberry Pi 5 edge computing gateway, dynamically presenting vitals cards, connection indicators, and color-coded risk assessment indicators. The user interface updates continuously at 1 Hz via non-blocking asynchronous REST API polling.</w:t>
      </w:r>
    </w:p>
    <w:p>
      <w:pPr>
        <w:spacing w:before="240" w:after="120"/>
        <w:jc w:val="left"/>
      </w:pPr>
      <w:r>
        <w:rPr>
          <w:rFonts w:ascii="Times New Roman" w:hAnsi="Times New Roman"/>
          <w:b/>
          <w:color w:val="000000"/>
          <w:sz w:val="26"/>
        </w:rPr>
        <w:t>5.1.2 Live Readings and Statistics</w:t>
      </w:r>
    </w:p>
    <w:p>
      <w:pPr>
        <w:spacing w:before="0" w:after="120" w:line="276" w:lineRule="auto"/>
        <w:jc w:val="both"/>
      </w:pPr>
      <w:r>
        <w:rPr>
          <w:rFonts w:ascii="Times New Roman" w:hAnsi="Times New Roman"/>
          <w:b w:val="0"/>
          <w:i w:val="0"/>
          <w:color w:val="000000"/>
          <w:sz w:val="24"/>
        </w:rPr>
        <w:t>The live telemetry module displays instantaneous physiological metrics captured from the patient: Heart Rate (BPM), Blood Oxygen Saturation (SpO₂ in %), and Body Temperature (°C). In parallel, an edge statistical aggregation engine calculates session-level metrics including mean heart rate, minimum/maximum extremes, and total high-risk threshold breaches to assist clinicians in quick triage assessment.</w:t>
      </w:r>
    </w:p>
    <w:p>
      <w:pPr>
        <w:spacing w:before="240" w:after="120"/>
        <w:jc w:val="left"/>
      </w:pPr>
      <w:r>
        <w:rPr>
          <w:rFonts w:ascii="Times New Roman" w:hAnsi="Times New Roman"/>
          <w:b/>
          <w:color w:val="000000"/>
          <w:sz w:val="26"/>
        </w:rPr>
        <w:t>5.1.3 Vital Signs &amp; ECG Trend Charts</w:t>
      </w:r>
    </w:p>
    <w:p>
      <w:pPr>
        <w:spacing w:before="0" w:after="120" w:line="276" w:lineRule="auto"/>
        <w:jc w:val="both"/>
      </w:pPr>
      <w:r>
        <w:rPr>
          <w:rFonts w:ascii="Times New Roman" w:hAnsi="Times New Roman"/>
          <w:b w:val="0"/>
          <w:i w:val="0"/>
          <w:color w:val="000000"/>
          <w:sz w:val="24"/>
        </w:rPr>
        <w:t>To observe hemodynamic trends over time, multi-channel dynamic time-series charts are plotted using Chart.js. The charts maintain a sliding window of the last 50 vitals readings. Additionally, an electrophysiological visualization component plots real-time 20 Hz sampled electrocardiogram (ECG) data streamed from the AD8232 sensor node, enabling detection of cardiac arrhythmias.</w:t>
      </w:r>
    </w:p>
    <w:p>
      <w:pPr>
        <w:spacing w:before="240" w:after="120"/>
        <w:jc w:val="left"/>
      </w:pPr>
      <w:r>
        <w:rPr>
          <w:rFonts w:ascii="Times New Roman" w:hAnsi="Times New Roman"/>
          <w:b/>
          <w:color w:val="000000"/>
          <w:sz w:val="26"/>
        </w:rPr>
        <w:t>5.1.4 Edge Health Status &amp; Patient Risk Classification</w:t>
      </w:r>
    </w:p>
    <w:p>
      <w:pPr>
        <w:spacing w:before="0" w:after="120" w:line="276" w:lineRule="auto"/>
        <w:jc w:val="both"/>
      </w:pPr>
      <w:r>
        <w:rPr>
          <w:rFonts w:ascii="Times New Roman" w:hAnsi="Times New Roman"/>
          <w:b w:val="0"/>
          <w:i w:val="0"/>
          <w:color w:val="000000"/>
          <w:sz w:val="24"/>
        </w:rPr>
        <w:t>The edge decision engine continuously checks deterministic clinical safety rules directly on the Raspberry Pi 5. Incoming packets are categorized into NORMAL (Green), MODERATE (Yellow), or HIGH_RISK (Blinking Red) alerts. When a sensor wire or finger detachment is detected, the status immediately switches to WAITING, preventing false alarms and alerting nursing staff.</w:t>
      </w:r>
    </w:p>
    <w:p>
      <w:pPr>
        <w:spacing w:before="240" w:after="120"/>
        <w:jc w:val="left"/>
      </w:pPr>
      <w:r>
        <w:rPr>
          <w:rFonts w:ascii="Times New Roman" w:hAnsi="Times New Roman"/>
          <w:b/>
          <w:color w:val="000000"/>
          <w:sz w:val="26"/>
        </w:rPr>
        <w:t>5.1.5 Quantum &amp; Classical Machine Learning Predictions</w:t>
      </w:r>
    </w:p>
    <w:p>
      <w:pPr>
        <w:spacing w:before="0" w:after="120" w:line="276" w:lineRule="auto"/>
        <w:jc w:val="both"/>
      </w:pPr>
      <w:r>
        <w:rPr>
          <w:rFonts w:ascii="Times New Roman" w:hAnsi="Times New Roman"/>
          <w:b w:val="0"/>
          <w:i w:val="0"/>
          <w:color w:val="000000"/>
          <w:sz w:val="24"/>
        </w:rPr>
        <w:t>The predictive analytics panel demonstrates the dual-layer artificial intelligence classification system. It presents the real-time inference output of the primary Qiskit Quantum Support Vector Classifier (QSVC) utilizing a ZZFeatureMap alongside the classical Random Forest baseline model, guaranteeing continuous predictions with automated failover.</w:t>
      </w:r>
    </w:p>
    <w:p>
      <w:pPr>
        <w:spacing w:before="240" w:after="120"/>
        <w:jc w:val="left"/>
      </w:pPr>
      <w:r>
        <w:rPr>
          <w:rFonts w:ascii="Times New Roman" w:hAnsi="Times New Roman"/>
          <w:b/>
          <w:color w:val="000000"/>
          <w:sz w:val="26"/>
        </w:rPr>
        <w:t>5.1.6 API Documentation &amp; Telemetry Endpoints</w:t>
      </w:r>
    </w:p>
    <w:p>
      <w:pPr>
        <w:spacing w:before="0" w:after="120" w:line="276" w:lineRule="auto"/>
        <w:jc w:val="both"/>
      </w:pPr>
      <w:r>
        <w:rPr>
          <w:rFonts w:ascii="Times New Roman" w:hAnsi="Times New Roman"/>
          <w:b w:val="0"/>
          <w:i w:val="0"/>
          <w:color w:val="000000"/>
          <w:sz w:val="24"/>
        </w:rPr>
        <w:t>The Flask RESTful backend exposes structured, lightweight JSON endpoints for hospital information system integration: /api/latest (immediate vitals), /api/data (historical records for charting), /api/stats (statistical session aggregates), and /api/info (hardware edge node health).</w:t>
      </w:r>
    </w:p>
    <w:p>
      <w:pPr>
        <w:spacing w:before="240" w:after="120"/>
        <w:jc w:val="left"/>
      </w:pPr>
      <w:r>
        <w:rPr>
          <w:rFonts w:ascii="Times New Roman" w:hAnsi="Times New Roman"/>
          <w:b/>
          <w:color w:val="000000"/>
          <w:sz w:val="26"/>
        </w:rPr>
        <w:t>5.1.7 Hardware Edge Setup</w:t>
      </w:r>
    </w:p>
    <w:p>
      <w:pPr>
        <w:spacing w:before="0" w:after="120" w:line="276" w:lineRule="auto"/>
        <w:jc w:val="both"/>
      </w:pPr>
      <w:r>
        <w:rPr>
          <w:rFonts w:ascii="Times New Roman" w:hAnsi="Times New Roman"/>
          <w:b w:val="0"/>
          <w:i w:val="0"/>
          <w:color w:val="000000"/>
          <w:sz w:val="24"/>
        </w:rPr>
        <w:t>The physical hardware prototype consists of an ESP32 microcontroller acquisition node interfaced with the MAX30102 pulse oximeter, DS18B20 digital temperature probe, and AD8232 ECG sensor. Telemetry is securely streamed over Mosquitto MQTT to the Raspberry Pi 5 single-board computer operating as an autonomous, offline-resilient edge computing gateway.</w:t>
      </w:r>
    </w:p>
    <w:p>
      <w:pPr>
        <w:spacing w:before="280" w:after="160"/>
        <w:jc w:val="left"/>
      </w:pPr>
      <w:r>
        <w:rPr>
          <w:rFonts w:ascii="Times New Roman" w:hAnsi="Times New Roman"/>
          <w:b/>
          <w:color w:val="000000"/>
          <w:sz w:val="30"/>
        </w:rPr>
        <w:t>5.2 Resulting Tables</w:t>
      </w:r>
    </w:p>
    <w:p>
      <w:pPr>
        <w:spacing w:before="240" w:after="120"/>
        <w:jc w:val="left"/>
      </w:pPr>
      <w:r>
        <w:rPr>
          <w:rFonts w:ascii="Times New Roman" w:hAnsi="Times New Roman"/>
          <w:b/>
          <w:color w:val="000000"/>
          <w:sz w:val="26"/>
        </w:rPr>
        <w:t>5.2.1 Anomaly Detection Performance</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872"/>
        <w:gridCol w:w="1872"/>
        <w:gridCol w:w="1872"/>
        <w:gridCol w:w="1872"/>
        <w:gridCol w:w="1872"/>
      </w:tblGrid>
      <w:tr>
        <w:trPr>
          <w:trHeight w:val="340" w:hRule="atLeast"/>
          <w:tblHeader/>
        </w:trPr>
        <w:tc>
          <w:tcPr>
            <w:tcW w:type="dxa" w:w="3600"/>
            <w:vAlign w:val="center"/>
            <w:tcMar>
              <w:top w:w="90" w:type="dxa"/>
              <w:left w:w="120" w:type="dxa"/>
              <w:bottom w:w="90" w:type="dxa"/>
              <w:right w:w="120" w:type="dxa"/>
            </w:tcMar>
            <w:shd w:fill="D9D9D9"/>
          </w:tcPr>
          <w:p>
            <w:pPr>
              <w:spacing w:before="40" w:after="40" w:line="252" w:lineRule="auto"/>
              <w:jc w:val="left"/>
            </w:pPr>
            <w:r>
              <w:rPr>
                <w:rFonts w:ascii="Times New Roman" w:hAnsi="Times New Roman"/>
                <w:b/>
                <w:color w:val="000000"/>
                <w:sz w:val="21"/>
              </w:rPr>
              <w:t>Model</w:t>
            </w:r>
          </w:p>
        </w:tc>
        <w:tc>
          <w:tcPr>
            <w:tcW w:type="dxa" w:w="1440"/>
            <w:vAlign w:val="center"/>
            <w:tcMar>
              <w:top w:w="90" w:type="dxa"/>
              <w:left w:w="120" w:type="dxa"/>
              <w:bottom w:w="90" w:type="dxa"/>
              <w:right w:w="120" w:type="dxa"/>
            </w:tcMar>
            <w:shd w:fill="D9D9D9"/>
          </w:tcPr>
          <w:p>
            <w:pPr>
              <w:spacing w:before="40" w:after="40" w:line="252" w:lineRule="auto"/>
              <w:jc w:val="center"/>
            </w:pPr>
            <w:r>
              <w:rPr>
                <w:rFonts w:ascii="Times New Roman" w:hAnsi="Times New Roman"/>
                <w:b/>
                <w:color w:val="000000"/>
                <w:sz w:val="21"/>
              </w:rPr>
              <w:t>Accuracy (%)</w:t>
            </w:r>
          </w:p>
        </w:tc>
        <w:tc>
          <w:tcPr>
            <w:tcW w:type="dxa" w:w="1440"/>
            <w:vAlign w:val="center"/>
            <w:tcMar>
              <w:top w:w="90" w:type="dxa"/>
              <w:left w:w="120" w:type="dxa"/>
              <w:bottom w:w="90" w:type="dxa"/>
              <w:right w:w="120" w:type="dxa"/>
            </w:tcMar>
            <w:shd w:fill="D9D9D9"/>
          </w:tcPr>
          <w:p>
            <w:pPr>
              <w:spacing w:before="40" w:after="40" w:line="252" w:lineRule="auto"/>
              <w:jc w:val="center"/>
            </w:pPr>
            <w:r>
              <w:rPr>
                <w:rFonts w:ascii="Times New Roman" w:hAnsi="Times New Roman"/>
                <w:b/>
                <w:color w:val="000000"/>
                <w:sz w:val="21"/>
              </w:rPr>
              <w:t>Precision (%)</w:t>
            </w:r>
          </w:p>
        </w:tc>
        <w:tc>
          <w:tcPr>
            <w:tcW w:type="dxa" w:w="1440"/>
            <w:vAlign w:val="center"/>
            <w:tcMar>
              <w:top w:w="90" w:type="dxa"/>
              <w:left w:w="120" w:type="dxa"/>
              <w:bottom w:w="90" w:type="dxa"/>
              <w:right w:w="120" w:type="dxa"/>
            </w:tcMar>
            <w:shd w:fill="D9D9D9"/>
          </w:tcPr>
          <w:p>
            <w:pPr>
              <w:spacing w:before="40" w:after="40" w:line="252" w:lineRule="auto"/>
              <w:jc w:val="center"/>
            </w:pPr>
            <w:r>
              <w:rPr>
                <w:rFonts w:ascii="Times New Roman" w:hAnsi="Times New Roman"/>
                <w:b/>
                <w:color w:val="000000"/>
                <w:sz w:val="21"/>
              </w:rPr>
              <w:t>Recall (%)</w:t>
            </w:r>
          </w:p>
        </w:tc>
        <w:tc>
          <w:tcPr>
            <w:tcW w:type="dxa" w:w="1440"/>
            <w:vAlign w:val="center"/>
            <w:tcMar>
              <w:top w:w="90" w:type="dxa"/>
              <w:left w:w="120" w:type="dxa"/>
              <w:bottom w:w="90" w:type="dxa"/>
              <w:right w:w="120" w:type="dxa"/>
            </w:tcMar>
            <w:shd w:fill="D9D9D9"/>
          </w:tcPr>
          <w:p>
            <w:pPr>
              <w:spacing w:before="40" w:after="40" w:line="252" w:lineRule="auto"/>
              <w:jc w:val="center"/>
            </w:pPr>
            <w:r>
              <w:rPr>
                <w:rFonts w:ascii="Times New Roman" w:hAnsi="Times New Roman"/>
                <w:b/>
                <w:color w:val="000000"/>
                <w:sz w:val="21"/>
              </w:rPr>
              <w:t>F1-Score (%)</w:t>
            </w:r>
          </w:p>
        </w:tc>
      </w:tr>
      <w:tr>
        <w:trPr>
          <w:trHeight w:val="340" w:hRule="atLeast"/>
        </w:trPr>
        <w:tc>
          <w:tcPr>
            <w:tcW w:type="dxa" w:w="3600"/>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Deterministic Edge Safety Rules</w:t>
            </w:r>
          </w:p>
        </w:tc>
        <w:tc>
          <w:tcPr>
            <w:tcW w:type="dxa" w:w="1440"/>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94.80</w:t>
            </w:r>
          </w:p>
        </w:tc>
        <w:tc>
          <w:tcPr>
            <w:tcW w:type="dxa" w:w="1440"/>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93.50</w:t>
            </w:r>
          </w:p>
        </w:tc>
        <w:tc>
          <w:tcPr>
            <w:tcW w:type="dxa" w:w="1440"/>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96.20</w:t>
            </w:r>
          </w:p>
        </w:tc>
        <w:tc>
          <w:tcPr>
            <w:tcW w:type="dxa" w:w="1440"/>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94.83</w:t>
            </w:r>
          </w:p>
        </w:tc>
      </w:tr>
      <w:tr>
        <w:trPr>
          <w:trHeight w:val="340" w:hRule="atLeast"/>
        </w:trPr>
        <w:tc>
          <w:tcPr>
            <w:tcW w:type="dxa" w:w="3600"/>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Logistic Regression</w:t>
            </w:r>
          </w:p>
        </w:tc>
        <w:tc>
          <w:tcPr>
            <w:tcW w:type="dxa" w:w="1440"/>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92.40</w:t>
            </w:r>
          </w:p>
        </w:tc>
        <w:tc>
          <w:tcPr>
            <w:tcW w:type="dxa" w:w="1440"/>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91.20</w:t>
            </w:r>
          </w:p>
        </w:tc>
        <w:tc>
          <w:tcPr>
            <w:tcW w:type="dxa" w:w="1440"/>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92.80</w:t>
            </w:r>
          </w:p>
        </w:tc>
        <w:tc>
          <w:tcPr>
            <w:tcW w:type="dxa" w:w="1440"/>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91.99</w:t>
            </w:r>
          </w:p>
        </w:tc>
      </w:tr>
      <w:tr>
        <w:trPr>
          <w:trHeight w:val="340" w:hRule="atLeast"/>
        </w:trPr>
        <w:tc>
          <w:tcPr>
            <w:tcW w:type="dxa" w:w="3600"/>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Support Vector Machine (RBF)</w:t>
            </w:r>
          </w:p>
        </w:tc>
        <w:tc>
          <w:tcPr>
            <w:tcW w:type="dxa" w:w="1440"/>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96.80</w:t>
            </w:r>
          </w:p>
        </w:tc>
        <w:tc>
          <w:tcPr>
            <w:tcW w:type="dxa" w:w="1440"/>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96.10</w:t>
            </w:r>
          </w:p>
        </w:tc>
        <w:tc>
          <w:tcPr>
            <w:tcW w:type="dxa" w:w="1440"/>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97.40</w:t>
            </w:r>
          </w:p>
        </w:tc>
        <w:tc>
          <w:tcPr>
            <w:tcW w:type="dxa" w:w="1440"/>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96.75</w:t>
            </w:r>
          </w:p>
        </w:tc>
      </w:tr>
      <w:tr>
        <w:trPr>
          <w:trHeight w:val="340" w:hRule="atLeast"/>
        </w:trPr>
        <w:tc>
          <w:tcPr>
            <w:tcW w:type="dxa" w:w="3600"/>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Random Forest (Classical Baseline)</w:t>
            </w:r>
          </w:p>
        </w:tc>
        <w:tc>
          <w:tcPr>
            <w:tcW w:type="dxa" w:w="1440"/>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98.50</w:t>
            </w:r>
          </w:p>
        </w:tc>
        <w:tc>
          <w:tcPr>
            <w:tcW w:type="dxa" w:w="1440"/>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98.20</w:t>
            </w:r>
          </w:p>
        </w:tc>
        <w:tc>
          <w:tcPr>
            <w:tcW w:type="dxa" w:w="1440"/>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98.90</w:t>
            </w:r>
          </w:p>
        </w:tc>
        <w:tc>
          <w:tcPr>
            <w:tcW w:type="dxa" w:w="1440"/>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98.55</w:t>
            </w:r>
          </w:p>
        </w:tc>
      </w:tr>
      <w:tr>
        <w:trPr>
          <w:trHeight w:val="340" w:hRule="atLeast"/>
        </w:trPr>
        <w:tc>
          <w:tcPr>
            <w:tcW w:type="dxa" w:w="3600"/>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Qiskit QSVC (Quantum Classifier)</w:t>
            </w:r>
          </w:p>
        </w:tc>
        <w:tc>
          <w:tcPr>
            <w:tcW w:type="dxa" w:w="1440"/>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99.20</w:t>
            </w:r>
          </w:p>
        </w:tc>
        <w:tc>
          <w:tcPr>
            <w:tcW w:type="dxa" w:w="1440"/>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99.10</w:t>
            </w:r>
          </w:p>
        </w:tc>
        <w:tc>
          <w:tcPr>
            <w:tcW w:type="dxa" w:w="1440"/>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99.40</w:t>
            </w:r>
          </w:p>
        </w:tc>
        <w:tc>
          <w:tcPr>
            <w:tcW w:type="dxa" w:w="1440"/>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99.25</w:t>
            </w:r>
          </w:p>
        </w:tc>
      </w:tr>
    </w:tbl>
    <w:p>
      <w:pPr>
        <w:spacing w:before="120" w:after="120"/>
        <w:jc w:val="center"/>
      </w:pPr>
      <w:r>
        <w:rPr>
          <w:rFonts w:ascii="Times New Roman" w:hAnsi="Times New Roman"/>
          <w:b w:val="0"/>
          <w:color w:val="000000"/>
          <w:sz w:val="22"/>
        </w:rPr>
        <w:t>Table 3: Anomaly Detection Performance</w:t>
      </w:r>
    </w:p>
    <w:p>
      <w:pPr>
        <w:spacing w:before="0" w:after="120" w:line="276" w:lineRule="auto"/>
        <w:jc w:val="both"/>
      </w:pPr>
      <w:r>
        <w:rPr>
          <w:rFonts w:ascii="Times New Roman" w:hAnsi="Times New Roman"/>
          <w:b w:val="0"/>
          <w:i w:val="0"/>
          <w:color w:val="000000"/>
          <w:sz w:val="24"/>
        </w:rPr>
        <w:t>This table compares the anomaly detection performance of the deterministic edge rules, classical machine learning classifiers, and the quantum classifier on the patient vital signs evaluation data.</w:t>
      </w:r>
    </w:p>
    <w:p>
      <w:pPr>
        <w:spacing w:before="240" w:after="120"/>
        <w:jc w:val="left"/>
      </w:pPr>
      <w:r>
        <w:rPr>
          <w:rFonts w:ascii="Times New Roman" w:hAnsi="Times New Roman"/>
          <w:b/>
          <w:color w:val="000000"/>
          <w:sz w:val="26"/>
        </w:rPr>
        <w:t>5.2.2 Quantum vs Classical Model Evaluation</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560"/>
        <w:gridCol w:w="1560"/>
        <w:gridCol w:w="1560"/>
        <w:gridCol w:w="1560"/>
        <w:gridCol w:w="1560"/>
        <w:gridCol w:w="1560"/>
      </w:tblGrid>
      <w:tr>
        <w:trPr>
          <w:trHeight w:val="340" w:hRule="atLeast"/>
          <w:tblHeader/>
        </w:trPr>
        <w:tc>
          <w:tcPr>
            <w:tcW w:type="dxa" w:w="2880"/>
            <w:vAlign w:val="center"/>
            <w:tcMar>
              <w:top w:w="90" w:type="dxa"/>
              <w:left w:w="120" w:type="dxa"/>
              <w:bottom w:w="90" w:type="dxa"/>
              <w:right w:w="120" w:type="dxa"/>
            </w:tcMar>
            <w:shd w:fill="D9D9D9"/>
          </w:tcPr>
          <w:p>
            <w:pPr>
              <w:spacing w:before="40" w:after="40" w:line="252" w:lineRule="auto"/>
              <w:jc w:val="left"/>
            </w:pPr>
            <w:r>
              <w:rPr>
                <w:rFonts w:ascii="Times New Roman" w:hAnsi="Times New Roman"/>
                <w:b/>
                <w:color w:val="000000"/>
                <w:sz w:val="21"/>
              </w:rPr>
              <w:t>Model Architecture</w:t>
            </w:r>
          </w:p>
        </w:tc>
        <w:tc>
          <w:tcPr>
            <w:tcW w:type="dxa" w:w="2592"/>
            <w:vAlign w:val="center"/>
            <w:tcMar>
              <w:top w:w="90" w:type="dxa"/>
              <w:left w:w="120" w:type="dxa"/>
              <w:bottom w:w="90" w:type="dxa"/>
              <w:right w:w="120" w:type="dxa"/>
            </w:tcMar>
            <w:shd w:fill="D9D9D9"/>
          </w:tcPr>
          <w:p>
            <w:pPr>
              <w:spacing w:before="40" w:after="40" w:line="252" w:lineRule="auto"/>
              <w:jc w:val="left"/>
            </w:pPr>
            <w:r>
              <w:rPr>
                <w:rFonts w:ascii="Times New Roman" w:hAnsi="Times New Roman"/>
                <w:b/>
                <w:color w:val="000000"/>
                <w:sz w:val="21"/>
              </w:rPr>
              <w:t>Feature Mapping / Kernel</w:t>
            </w:r>
          </w:p>
        </w:tc>
        <w:tc>
          <w:tcPr>
            <w:tcW w:type="dxa" w:w="1440"/>
            <w:vAlign w:val="center"/>
            <w:tcMar>
              <w:top w:w="90" w:type="dxa"/>
              <w:left w:w="120" w:type="dxa"/>
              <w:bottom w:w="90" w:type="dxa"/>
              <w:right w:w="120" w:type="dxa"/>
            </w:tcMar>
            <w:shd w:fill="D9D9D9"/>
          </w:tcPr>
          <w:p>
            <w:pPr>
              <w:spacing w:before="40" w:after="40" w:line="252" w:lineRule="auto"/>
              <w:jc w:val="center"/>
            </w:pPr>
            <w:r>
              <w:rPr>
                <w:rFonts w:ascii="Times New Roman" w:hAnsi="Times New Roman"/>
                <w:b/>
                <w:color w:val="000000"/>
                <w:sz w:val="21"/>
              </w:rPr>
              <w:t>Inference Latency</w:t>
            </w:r>
          </w:p>
        </w:tc>
        <w:tc>
          <w:tcPr>
            <w:tcW w:type="dxa" w:w="1296"/>
            <w:vAlign w:val="center"/>
            <w:tcMar>
              <w:top w:w="90" w:type="dxa"/>
              <w:left w:w="120" w:type="dxa"/>
              <w:bottom w:w="90" w:type="dxa"/>
              <w:right w:w="120" w:type="dxa"/>
            </w:tcMar>
            <w:shd w:fill="D9D9D9"/>
          </w:tcPr>
          <w:p>
            <w:pPr>
              <w:spacing w:before="40" w:after="40" w:line="252" w:lineRule="auto"/>
              <w:jc w:val="center"/>
            </w:pPr>
            <w:r>
              <w:rPr>
                <w:rFonts w:ascii="Times New Roman" w:hAnsi="Times New Roman"/>
                <w:b/>
                <w:color w:val="000000"/>
                <w:sz w:val="21"/>
              </w:rPr>
              <w:t>Training Time</w:t>
            </w:r>
          </w:p>
        </w:tc>
        <w:tc>
          <w:tcPr>
            <w:tcW w:type="dxa" w:w="1296"/>
            <w:vAlign w:val="center"/>
            <w:tcMar>
              <w:top w:w="90" w:type="dxa"/>
              <w:left w:w="120" w:type="dxa"/>
              <w:bottom w:w="90" w:type="dxa"/>
              <w:right w:w="120" w:type="dxa"/>
            </w:tcMar>
            <w:shd w:fill="D9D9D9"/>
          </w:tcPr>
          <w:p>
            <w:pPr>
              <w:spacing w:before="40" w:after="40" w:line="252" w:lineRule="auto"/>
              <w:jc w:val="center"/>
            </w:pPr>
            <w:r>
              <w:rPr>
                <w:rFonts w:ascii="Times New Roman" w:hAnsi="Times New Roman"/>
                <w:b/>
                <w:color w:val="000000"/>
                <w:sz w:val="21"/>
              </w:rPr>
              <w:t>Accuracy (%)</w:t>
            </w:r>
          </w:p>
        </w:tc>
        <w:tc>
          <w:tcPr>
            <w:tcW w:type="dxa" w:w="1152"/>
            <w:vAlign w:val="center"/>
            <w:tcMar>
              <w:top w:w="90" w:type="dxa"/>
              <w:left w:w="120" w:type="dxa"/>
              <w:bottom w:w="90" w:type="dxa"/>
              <w:right w:w="120" w:type="dxa"/>
            </w:tcMar>
            <w:shd w:fill="D9D9D9"/>
          </w:tcPr>
          <w:p>
            <w:pPr>
              <w:spacing w:before="40" w:after="40" w:line="252" w:lineRule="auto"/>
              <w:jc w:val="center"/>
            </w:pPr>
            <w:r>
              <w:rPr>
                <w:rFonts w:ascii="Times New Roman" w:hAnsi="Times New Roman"/>
                <w:b/>
                <w:color w:val="000000"/>
                <w:sz w:val="21"/>
              </w:rPr>
              <w:t>ROC-AUC</w:t>
            </w:r>
          </w:p>
        </w:tc>
      </w:tr>
      <w:tr>
        <w:trPr>
          <w:trHeight w:val="340" w:hRule="atLeast"/>
        </w:trPr>
        <w:tc>
          <w:tcPr>
            <w:tcW w:type="dxa" w:w="2880"/>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Logistic Regression</w:t>
            </w:r>
          </w:p>
        </w:tc>
        <w:tc>
          <w:tcPr>
            <w:tcW w:type="dxa" w:w="2592"/>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Standard Linear Scaling</w:t>
            </w:r>
          </w:p>
        </w:tc>
        <w:tc>
          <w:tcPr>
            <w:tcW w:type="dxa" w:w="1440"/>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&lt; 0.5 ms</w:t>
            </w:r>
          </w:p>
        </w:tc>
        <w:tc>
          <w:tcPr>
            <w:tcW w:type="dxa" w:w="1296"/>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0.42 s</w:t>
            </w:r>
          </w:p>
        </w:tc>
        <w:tc>
          <w:tcPr>
            <w:tcW w:type="dxa" w:w="1296"/>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92.40</w:t>
            </w:r>
          </w:p>
        </w:tc>
        <w:tc>
          <w:tcPr>
            <w:tcW w:type="dxa" w:w="1152"/>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0.932</w:t>
            </w:r>
          </w:p>
        </w:tc>
      </w:tr>
      <w:tr>
        <w:trPr>
          <w:trHeight w:val="340" w:hRule="atLeast"/>
        </w:trPr>
        <w:tc>
          <w:tcPr>
            <w:tcW w:type="dxa" w:w="2880"/>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SVM (RBF Kernel)</w:t>
            </w:r>
          </w:p>
        </w:tc>
        <w:tc>
          <w:tcPr>
            <w:tcW w:type="dxa" w:w="2592"/>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Non-linear Radial Basis Function</w:t>
            </w:r>
          </w:p>
        </w:tc>
        <w:tc>
          <w:tcPr>
            <w:tcW w:type="dxa" w:w="1440"/>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1.2 ms</w:t>
            </w:r>
          </w:p>
        </w:tc>
        <w:tc>
          <w:tcPr>
            <w:tcW w:type="dxa" w:w="1296"/>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1.85 s</w:t>
            </w:r>
          </w:p>
        </w:tc>
        <w:tc>
          <w:tcPr>
            <w:tcW w:type="dxa" w:w="1296"/>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96.80</w:t>
            </w:r>
          </w:p>
        </w:tc>
        <w:tc>
          <w:tcPr>
            <w:tcW w:type="dxa" w:w="1152"/>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0.971</w:t>
            </w:r>
          </w:p>
        </w:tc>
      </w:tr>
      <w:tr>
        <w:trPr>
          <w:trHeight w:val="340" w:hRule="atLeast"/>
        </w:trPr>
        <w:tc>
          <w:tcPr>
            <w:tcW w:type="dxa" w:w="2880"/>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Random Forest Ensemble</w:t>
            </w:r>
          </w:p>
        </w:tc>
        <w:tc>
          <w:tcPr>
            <w:tcW w:type="dxa" w:w="2592"/>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100 Gini-Impurity Decision Trees</w:t>
            </w:r>
          </w:p>
        </w:tc>
        <w:tc>
          <w:tcPr>
            <w:tcW w:type="dxa" w:w="1440"/>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2.1 ms</w:t>
            </w:r>
          </w:p>
        </w:tc>
        <w:tc>
          <w:tcPr>
            <w:tcW w:type="dxa" w:w="1296"/>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3.40 s</w:t>
            </w:r>
          </w:p>
        </w:tc>
        <w:tc>
          <w:tcPr>
            <w:tcW w:type="dxa" w:w="1296"/>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98.50</w:t>
            </w:r>
          </w:p>
        </w:tc>
        <w:tc>
          <w:tcPr>
            <w:tcW w:type="dxa" w:w="1152"/>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0.988</w:t>
            </w:r>
          </w:p>
        </w:tc>
      </w:tr>
      <w:tr>
        <w:trPr>
          <w:trHeight w:val="340" w:hRule="atLeast"/>
        </w:trPr>
        <w:tc>
          <w:tcPr>
            <w:tcW w:type="dxa" w:w="2880"/>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Qiskit QSVC (Proposed)</w:t>
            </w:r>
          </w:p>
        </w:tc>
        <w:tc>
          <w:tcPr>
            <w:tcW w:type="dxa" w:w="2592"/>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3-Qubit ZZFeatureMap (Linear Entanglement)</w:t>
            </w:r>
          </w:p>
        </w:tc>
        <w:tc>
          <w:tcPr>
            <w:tcW w:type="dxa" w:w="1440"/>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142.0 ms</w:t>
            </w:r>
          </w:p>
        </w:tc>
        <w:tc>
          <w:tcPr>
            <w:tcW w:type="dxa" w:w="1296"/>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48.60 s</w:t>
            </w:r>
          </w:p>
        </w:tc>
        <w:tc>
          <w:tcPr>
            <w:tcW w:type="dxa" w:w="1296"/>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99.20</w:t>
            </w:r>
          </w:p>
        </w:tc>
        <w:tc>
          <w:tcPr>
            <w:tcW w:type="dxa" w:w="1152"/>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0.995</w:t>
            </w:r>
          </w:p>
        </w:tc>
      </w:tr>
    </w:tbl>
    <w:p>
      <w:pPr>
        <w:spacing w:before="120" w:after="120"/>
        <w:jc w:val="center"/>
      </w:pPr>
      <w:r>
        <w:rPr>
          <w:rFonts w:ascii="Times New Roman" w:hAnsi="Times New Roman"/>
          <w:b w:val="0"/>
          <w:color w:val="000000"/>
          <w:sz w:val="22"/>
        </w:rPr>
        <w:t>Table 4: Quantum vs Classical Model Evaluation</w:t>
      </w:r>
    </w:p>
    <w:p>
      <w:pPr>
        <w:spacing w:before="0" w:after="120" w:line="276" w:lineRule="auto"/>
        <w:jc w:val="both"/>
      </w:pPr>
      <w:r>
        <w:rPr>
          <w:rFonts w:ascii="Times New Roman" w:hAnsi="Times New Roman"/>
          <w:b w:val="0"/>
          <w:i w:val="0"/>
          <w:color w:val="000000"/>
          <w:sz w:val="24"/>
        </w:rPr>
        <w:t>This table compares the mathematical feature mapping, execution latency, training duration, classification accuracy, and ROC-AUC discriminative power between classical predictive baselines and the Qiskit Quantum Support Vector Classifier.</w:t>
      </w:r>
    </w:p>
    <w:p>
      <w:pPr>
        <w:spacing w:before="240" w:after="120"/>
        <w:jc w:val="left"/>
      </w:pPr>
      <w:r>
        <w:rPr>
          <w:rFonts w:ascii="Times New Roman" w:hAnsi="Times New Roman"/>
          <w:b/>
          <w:color w:val="000000"/>
          <w:sz w:val="26"/>
        </w:rPr>
        <w:t>5.2.3 System Performance Metrics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120"/>
        <w:gridCol w:w="3120"/>
        <w:gridCol w:w="3120"/>
      </w:tblGrid>
      <w:tr>
        <w:trPr>
          <w:trHeight w:val="340" w:hRule="atLeast"/>
          <w:tblHeader/>
        </w:trPr>
        <w:tc>
          <w:tcPr>
            <w:tcW w:type="dxa" w:w="3600"/>
            <w:vAlign w:val="center"/>
            <w:tcMar>
              <w:top w:w="90" w:type="dxa"/>
              <w:left w:w="120" w:type="dxa"/>
              <w:bottom w:w="90" w:type="dxa"/>
              <w:right w:w="120" w:type="dxa"/>
            </w:tcMar>
            <w:shd w:fill="D9D9D9"/>
          </w:tcPr>
          <w:p>
            <w:pPr>
              <w:spacing w:before="40" w:after="40" w:line="252" w:lineRule="auto"/>
              <w:jc w:val="left"/>
            </w:pPr>
            <w:r>
              <w:rPr>
                <w:rFonts w:ascii="Times New Roman" w:hAnsi="Times New Roman"/>
                <w:b/>
                <w:color w:val="000000"/>
                <w:sz w:val="21"/>
              </w:rPr>
              <w:t>Component</w:t>
            </w:r>
          </w:p>
        </w:tc>
        <w:tc>
          <w:tcPr>
            <w:tcW w:type="dxa" w:w="2304"/>
            <w:vAlign w:val="center"/>
            <w:tcMar>
              <w:top w:w="90" w:type="dxa"/>
              <w:left w:w="120" w:type="dxa"/>
              <w:bottom w:w="90" w:type="dxa"/>
              <w:right w:w="120" w:type="dxa"/>
            </w:tcMar>
            <w:shd w:fill="D9D9D9"/>
          </w:tcPr>
          <w:p>
            <w:pPr>
              <w:spacing w:before="40" w:after="40" w:line="252" w:lineRule="auto"/>
              <w:jc w:val="center"/>
            </w:pPr>
            <w:r>
              <w:rPr>
                <w:rFonts w:ascii="Times New Roman" w:hAnsi="Times New Roman"/>
                <w:b/>
                <w:color w:val="000000"/>
                <w:sz w:val="21"/>
              </w:rPr>
              <w:t>Average Response / Run Time</w:t>
            </w:r>
          </w:p>
        </w:tc>
        <w:tc>
          <w:tcPr>
            <w:tcW w:type="dxa" w:w="3456"/>
            <w:vAlign w:val="center"/>
            <w:tcMar>
              <w:top w:w="90" w:type="dxa"/>
              <w:left w:w="120" w:type="dxa"/>
              <w:bottom w:w="90" w:type="dxa"/>
              <w:right w:w="120" w:type="dxa"/>
            </w:tcMar>
            <w:shd w:fill="D9D9D9"/>
          </w:tcPr>
          <w:p>
            <w:pPr>
              <w:spacing w:before="40" w:after="40" w:line="252" w:lineRule="auto"/>
              <w:jc w:val="left"/>
            </w:pPr>
            <w:r>
              <w:rPr>
                <w:rFonts w:ascii="Times New Roman" w:hAnsi="Times New Roman"/>
                <w:b/>
                <w:color w:val="000000"/>
                <w:sz w:val="21"/>
              </w:rPr>
              <w:t>Remarks</w:t>
            </w:r>
          </w:p>
        </w:tc>
      </w:tr>
      <w:tr>
        <w:trPr>
          <w:trHeight w:val="340" w:hRule="atLeast"/>
        </w:trPr>
        <w:tc>
          <w:tcPr>
            <w:tcW w:type="dxa" w:w="3600"/>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GET /api/latest (Dashboard API)</w:t>
            </w:r>
          </w:p>
        </w:tc>
        <w:tc>
          <w:tcPr>
            <w:tcW w:type="dxa" w:w="2304"/>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&lt; 8.5 ms</w:t>
            </w:r>
          </w:p>
        </w:tc>
        <w:tc>
          <w:tcPr>
            <w:tcW w:type="dxa" w:w="3456"/>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Serves most recent validated vitals JSON from edge SQLite</w:t>
            </w:r>
          </w:p>
        </w:tc>
      </w:tr>
      <w:tr>
        <w:trPr>
          <w:trHeight w:val="340" w:hRule="atLeast"/>
        </w:trPr>
        <w:tc>
          <w:tcPr>
            <w:tcW w:type="dxa" w:w="3600"/>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GET /api/data (Telemetry History API)</w:t>
            </w:r>
          </w:p>
        </w:tc>
        <w:tc>
          <w:tcPr>
            <w:tcW w:type="dxa" w:w="2304"/>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&lt; 12.4 ms</w:t>
            </w:r>
          </w:p>
        </w:tc>
        <w:tc>
          <w:tcPr>
            <w:tcW w:type="dxa" w:w="3456"/>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Queries last 50 historical vitals records for Chart.js rendering</w:t>
            </w:r>
          </w:p>
        </w:tc>
      </w:tr>
      <w:tr>
        <w:trPr>
          <w:trHeight w:val="340" w:hRule="atLeast"/>
        </w:trPr>
        <w:tc>
          <w:tcPr>
            <w:tcW w:type="dxa" w:w="3600"/>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ESP32 Biosensor Acquisition Loop</w:t>
            </w:r>
          </w:p>
        </w:tc>
        <w:tc>
          <w:tcPr>
            <w:tcW w:type="dxa" w:w="2304"/>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50.0 ms (20 Hz)</w:t>
            </w:r>
          </w:p>
        </w:tc>
        <w:tc>
          <w:tcPr>
            <w:tcW w:type="dxa" w:w="3456"/>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Continuous I2C (MAX30102), OneWire (DS18B20) &amp; ADC (AD8232) sampling</w:t>
            </w:r>
          </w:p>
        </w:tc>
      </w:tr>
      <w:tr>
        <w:trPr>
          <w:trHeight w:val="340" w:hRule="atLeast"/>
        </w:trPr>
        <w:tc>
          <w:tcPr>
            <w:tcW w:type="dxa" w:w="3600"/>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MQTT Telemetry Delivery (Pi 5 Mosquitto)</w:t>
            </w:r>
          </w:p>
        </w:tc>
        <w:tc>
          <w:tcPr>
            <w:tcW w:type="dxa" w:w="2304"/>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&lt; 4.2 ms</w:t>
            </w:r>
          </w:p>
        </w:tc>
        <w:tc>
          <w:tcPr>
            <w:tcW w:type="dxa" w:w="3456"/>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Low-overhead publish/subscribe transport between ESP32 and Edge</w:t>
            </w:r>
          </w:p>
        </w:tc>
      </w:tr>
      <w:tr>
        <w:trPr>
          <w:trHeight w:val="340" w:hRule="atLeast"/>
        </w:trPr>
        <w:tc>
          <w:tcPr>
            <w:tcW w:type="dxa" w:w="3600"/>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Stage 2 Edge Pre-Check (Pi 5)</w:t>
            </w:r>
          </w:p>
        </w:tc>
        <w:tc>
          <w:tcPr>
            <w:tcW w:type="dxa" w:w="2304"/>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&lt; 1.8 ms</w:t>
            </w:r>
          </w:p>
        </w:tc>
        <w:tc>
          <w:tcPr>
            <w:tcW w:type="dxa" w:w="3456"/>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Deterministic threshold checking, spike suppression &amp; sensor sanity checks</w:t>
            </w:r>
          </w:p>
        </w:tc>
      </w:tr>
      <w:tr>
        <w:trPr>
          <w:trHeight w:val="340" w:hRule="atLeast"/>
        </w:trPr>
        <w:tc>
          <w:tcPr>
            <w:tcW w:type="dxa" w:w="3600"/>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SQLite Edge Database Write Latency</w:t>
            </w:r>
          </w:p>
        </w:tc>
        <w:tc>
          <w:tcPr>
            <w:tcW w:type="dxa" w:w="2304"/>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&lt; 2.1 ms</w:t>
            </w:r>
          </w:p>
        </w:tc>
        <w:tc>
          <w:tcPr>
            <w:tcW w:type="dxa" w:w="3456"/>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ACID-compliant local persistence for complete offline resilience</w:t>
            </w:r>
          </w:p>
        </w:tc>
      </w:tr>
      <w:tr>
        <w:trPr>
          <w:trHeight w:val="340" w:hRule="atLeast"/>
        </w:trPr>
        <w:tc>
          <w:tcPr>
            <w:tcW w:type="dxa" w:w="3600"/>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Classical RF Inference Job</w:t>
            </w:r>
          </w:p>
        </w:tc>
        <w:tc>
          <w:tcPr>
            <w:tcW w:type="dxa" w:w="2304"/>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 2.1 ms</w:t>
            </w:r>
          </w:p>
        </w:tc>
        <w:tc>
          <w:tcPr>
            <w:tcW w:type="dxa" w:w="3456"/>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High-throughput backup tree ensemble classification</w:t>
            </w:r>
          </w:p>
        </w:tc>
      </w:tr>
      <w:tr>
        <w:trPr>
          <w:trHeight w:val="340" w:hRule="atLeast"/>
        </w:trPr>
        <w:tc>
          <w:tcPr>
            <w:tcW w:type="dxa" w:w="3600"/>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Quantum QSVC Inference Job</w:t>
            </w:r>
          </w:p>
        </w:tc>
        <w:tc>
          <w:tcPr>
            <w:tcW w:type="dxa" w:w="2304"/>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 142.0 ms</w:t>
            </w:r>
          </w:p>
        </w:tc>
        <w:tc>
          <w:tcPr>
            <w:tcW w:type="dxa" w:w="3456"/>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Statevector evaluation of 3-qubit quantum kernel on classical simulator</w:t>
            </w:r>
          </w:p>
        </w:tc>
      </w:tr>
      <w:tr>
        <w:trPr>
          <w:trHeight w:val="340" w:hRule="atLeast"/>
        </w:trPr>
        <w:tc>
          <w:tcPr>
            <w:tcW w:type="dxa" w:w="3600"/>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Dashboard DOM / Chart.js Refresh</w:t>
            </w:r>
          </w:p>
        </w:tc>
        <w:tc>
          <w:tcPr>
            <w:tcW w:type="dxa" w:w="2304"/>
            <w:vAlign w:val="center"/>
            <w:tcMar>
              <w:top w:w="90" w:type="dxa"/>
              <w:left w:w="120" w:type="dxa"/>
              <w:bottom w:w="90" w:type="dxa"/>
              <w:right w:w="120" w:type="dxa"/>
            </w:tcMar>
          </w:tcPr>
          <w:p>
            <w:pPr>
              <w:spacing w:before="40" w:after="40" w:line="252" w:lineRule="auto"/>
              <w:jc w:val="center"/>
            </w:pPr>
            <w:r>
              <w:rPr>
                <w:rFonts w:ascii="Times New Roman" w:hAnsi="Times New Roman"/>
                <w:color w:val="000000"/>
                <w:sz w:val="21"/>
              </w:rPr>
              <w:t>1000 ms (1 Hz)</w:t>
            </w:r>
          </w:p>
        </w:tc>
        <w:tc>
          <w:tcPr>
            <w:tcW w:type="dxa" w:w="3456"/>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Smooth client-side canvas rendering without full browser page reload</w:t>
            </w:r>
          </w:p>
        </w:tc>
      </w:tr>
    </w:tbl>
    <w:p>
      <w:pPr>
        <w:spacing w:before="120" w:after="120"/>
        <w:jc w:val="center"/>
      </w:pPr>
      <w:r>
        <w:rPr>
          <w:rFonts w:ascii="Times New Roman" w:hAnsi="Times New Roman"/>
          <w:b w:val="0"/>
          <w:color w:val="000000"/>
          <w:sz w:val="22"/>
        </w:rPr>
        <w:t>Table 5: System Performance Metrics</w:t>
      </w:r>
    </w:p>
    <w:p>
      <w:pPr>
        <w:spacing w:before="0" w:after="120" w:line="276" w:lineRule="auto"/>
        <w:jc w:val="both"/>
      </w:pPr>
      <w:r>
        <w:rPr>
          <w:rFonts w:ascii="Times New Roman" w:hAnsi="Times New Roman"/>
          <w:b w:val="0"/>
          <w:i w:val="0"/>
          <w:color w:val="000000"/>
          <w:sz w:val="24"/>
        </w:rPr>
        <w:t>This table records the measured response and processing times of the main hardware, communication, edge computing, and artificial intelligence components of the Quantum HealthGuard system.</w:t>
      </w:r>
    </w:p>
    <w:p>
      <w:pPr>
        <w:spacing w:before="240" w:after="120"/>
        <w:jc w:val="left"/>
      </w:pPr>
      <w:r>
        <w:rPr>
          <w:rFonts w:ascii="Times New Roman" w:hAnsi="Times New Roman"/>
          <w:b/>
          <w:color w:val="000000"/>
          <w:sz w:val="26"/>
        </w:rPr>
        <w:t>5.2.4 Existing System vs Proposed System</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120"/>
        <w:gridCol w:w="3120"/>
        <w:gridCol w:w="3120"/>
      </w:tblGrid>
      <w:tr>
        <w:trPr>
          <w:trHeight w:val="340" w:hRule="atLeast"/>
          <w:tblHeader/>
        </w:trPr>
        <w:tc>
          <w:tcPr>
            <w:tcW w:type="dxa" w:w="2592"/>
            <w:vAlign w:val="center"/>
            <w:tcMar>
              <w:top w:w="90" w:type="dxa"/>
              <w:left w:w="120" w:type="dxa"/>
              <w:bottom w:w="90" w:type="dxa"/>
              <w:right w:w="120" w:type="dxa"/>
            </w:tcMar>
            <w:shd w:fill="D9D9D9"/>
          </w:tcPr>
          <w:p>
            <w:pPr>
              <w:spacing w:before="40" w:after="40" w:line="252" w:lineRule="auto"/>
              <w:jc w:val="left"/>
            </w:pPr>
            <w:r>
              <w:rPr>
                <w:rFonts w:ascii="Times New Roman" w:hAnsi="Times New Roman"/>
                <w:b/>
                <w:color w:val="000000"/>
                <w:sz w:val="21"/>
              </w:rPr>
              <w:t>Feature</w:t>
            </w:r>
          </w:p>
        </w:tc>
        <w:tc>
          <w:tcPr>
            <w:tcW w:type="dxa" w:w="3312"/>
            <w:vAlign w:val="center"/>
            <w:tcMar>
              <w:top w:w="90" w:type="dxa"/>
              <w:left w:w="120" w:type="dxa"/>
              <w:bottom w:w="90" w:type="dxa"/>
              <w:right w:w="120" w:type="dxa"/>
            </w:tcMar>
            <w:shd w:fill="D9D9D9"/>
          </w:tcPr>
          <w:p>
            <w:pPr>
              <w:spacing w:before="40" w:after="40" w:line="252" w:lineRule="auto"/>
              <w:jc w:val="left"/>
            </w:pPr>
            <w:r>
              <w:rPr>
                <w:rFonts w:ascii="Times New Roman" w:hAnsi="Times New Roman"/>
                <w:b/>
                <w:color w:val="000000"/>
                <w:sz w:val="21"/>
              </w:rPr>
              <w:t>Existing System</w:t>
            </w:r>
          </w:p>
        </w:tc>
        <w:tc>
          <w:tcPr>
            <w:tcW w:type="dxa" w:w="3456"/>
            <w:vAlign w:val="center"/>
            <w:tcMar>
              <w:top w:w="90" w:type="dxa"/>
              <w:left w:w="120" w:type="dxa"/>
              <w:bottom w:w="90" w:type="dxa"/>
              <w:right w:w="120" w:type="dxa"/>
            </w:tcMar>
            <w:shd w:fill="D9D9D9"/>
          </w:tcPr>
          <w:p>
            <w:pPr>
              <w:spacing w:before="40" w:after="40" w:line="252" w:lineRule="auto"/>
              <w:jc w:val="left"/>
            </w:pPr>
            <w:r>
              <w:rPr>
                <w:rFonts w:ascii="Times New Roman" w:hAnsi="Times New Roman"/>
                <w:b/>
                <w:color w:val="000000"/>
                <w:sz w:val="21"/>
              </w:rPr>
              <w:t>Proposed System</w:t>
            </w:r>
          </w:p>
        </w:tc>
      </w:tr>
      <w:tr>
        <w:trPr>
          <w:trHeight w:val="340" w:hRule="atLeast"/>
        </w:trPr>
        <w:tc>
          <w:tcPr>
            <w:tcW w:type="dxa" w:w="2592"/>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Architecture</w:t>
            </w:r>
          </w:p>
        </w:tc>
        <w:tc>
          <w:tcPr>
            <w:tcW w:type="dxa" w:w="3312"/>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Centralized, cloud-dependent server</w:t>
            </w:r>
          </w:p>
        </w:tc>
        <w:tc>
          <w:tcPr>
            <w:tcW w:type="dxa" w:w="3456"/>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4-Stage Distributed Edge Architecture (ESP32 + Pi 5 + Laptop)</w:t>
            </w:r>
          </w:p>
        </w:tc>
      </w:tr>
      <w:tr>
        <w:trPr>
          <w:trHeight w:val="340" w:hRule="atLeast"/>
        </w:trPr>
        <w:tc>
          <w:tcPr>
            <w:tcW w:type="dxa" w:w="2592"/>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Real-time Edge Processing</w:t>
            </w:r>
          </w:p>
        </w:tc>
        <w:tc>
          <w:tcPr>
            <w:tcW w:type="dxa" w:w="3312"/>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None (Raw data transmitted or delayed cloud alerts)</w:t>
            </w:r>
          </w:p>
        </w:tc>
        <w:tc>
          <w:tcPr>
            <w:tcW w:type="dxa" w:w="3456"/>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Stage 2 Edge Gateway on Pi 5 with instant deterministic checks (&lt; 2 ms)</w:t>
            </w:r>
          </w:p>
        </w:tc>
      </w:tr>
      <w:tr>
        <w:trPr>
          <w:trHeight w:val="340" w:hRule="atLeast"/>
        </w:trPr>
        <w:tc>
          <w:tcPr>
            <w:tcW w:type="dxa" w:w="2592"/>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Offline Fault Tolerance</w:t>
            </w:r>
          </w:p>
        </w:tc>
        <w:tc>
          <w:tcPr>
            <w:tcW w:type="dxa" w:w="3312"/>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Fails completely or loses vitals if WAN disconnects</w:t>
            </w:r>
          </w:p>
        </w:tc>
        <w:tc>
          <w:tcPr>
            <w:tcW w:type="dxa" w:w="3456"/>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100% offline-resilient local SQLite buffering and local Mosquitto broker</w:t>
            </w:r>
          </w:p>
        </w:tc>
      </w:tr>
      <w:tr>
        <w:trPr>
          <w:trHeight w:val="340" w:hRule="atLeast"/>
        </w:trPr>
        <w:tc>
          <w:tcPr>
            <w:tcW w:type="dxa" w:w="2592"/>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Anomaly Detection</w:t>
            </w:r>
          </w:p>
        </w:tc>
        <w:tc>
          <w:tcPr>
            <w:tcW w:type="dxa" w:w="3312"/>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Static single-parameter threshold alarms with high false alarms</w:t>
            </w:r>
          </w:p>
        </w:tc>
        <w:tc>
          <w:tcPr>
            <w:tcW w:type="dxa" w:w="3456"/>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Dual-Layer: Edge Deterministic Rules + Quantum QSVC &amp; Classical RF</w:t>
            </w:r>
          </w:p>
        </w:tc>
      </w:tr>
      <w:tr>
        <w:trPr>
          <w:trHeight w:val="340" w:hRule="atLeast"/>
        </w:trPr>
        <w:tc>
          <w:tcPr>
            <w:tcW w:type="dxa" w:w="2592"/>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Quantum AI Integration</w:t>
            </w:r>
          </w:p>
        </w:tc>
        <w:tc>
          <w:tcPr>
            <w:tcW w:type="dxa" w:w="3312"/>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Not available (Relies on legacy linear rules)</w:t>
            </w:r>
          </w:p>
        </w:tc>
        <w:tc>
          <w:tcPr>
            <w:tcW w:type="dxa" w:w="3456"/>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Qiskit Quantum Support Vector Classifier (ZZFeatureMap Hilbert mapping)</w:t>
            </w:r>
          </w:p>
        </w:tc>
      </w:tr>
      <w:tr>
        <w:trPr>
          <w:trHeight w:val="340" w:hRule="atLeast"/>
        </w:trPr>
        <w:tc>
          <w:tcPr>
            <w:tcW w:type="dxa" w:w="2592"/>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Biomedical Sensor Suite</w:t>
            </w:r>
          </w:p>
        </w:tc>
        <w:tc>
          <w:tcPr>
            <w:tcW w:type="dxa" w:w="3312"/>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Bulky standalone monitors (separate oximeter &amp; thermometer)</w:t>
            </w:r>
          </w:p>
        </w:tc>
        <w:tc>
          <w:tcPr>
            <w:tcW w:type="dxa" w:w="3456"/>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Multi-modal integrated node (MAX30102 HR/SpO2, DS18B20 Temp, AD8232 ECG)</w:t>
            </w:r>
          </w:p>
        </w:tc>
      </w:tr>
      <w:tr>
        <w:trPr>
          <w:trHeight w:val="340" w:hRule="atLeast"/>
        </w:trPr>
        <w:tc>
          <w:tcPr>
            <w:tcW w:type="dxa" w:w="2592"/>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Artifact &amp; Detachment Filtering</w:t>
            </w:r>
          </w:p>
        </w:tc>
        <w:tc>
          <w:tcPr>
            <w:tcW w:type="dxa" w:w="3312"/>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Raw noisy stream triggering frequent false patient alarms</w:t>
            </w:r>
          </w:p>
        </w:tc>
        <w:tc>
          <w:tcPr>
            <w:tcW w:type="dxa" w:w="3456"/>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Sliding-window spike suppression &amp; automated finger detachment detection</w:t>
            </w:r>
          </w:p>
        </w:tc>
      </w:tr>
      <w:tr>
        <w:trPr>
          <w:trHeight w:val="340" w:hRule="atLeast"/>
        </w:trPr>
        <w:tc>
          <w:tcPr>
            <w:tcW w:type="dxa" w:w="2592"/>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Clinical Alerting &amp; Feedback</w:t>
            </w:r>
          </w:p>
        </w:tc>
        <w:tc>
          <w:tcPr>
            <w:tcW w:type="dxa" w:w="3312"/>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Audible bedside buzzer only</w:t>
            </w:r>
          </w:p>
        </w:tc>
        <w:tc>
          <w:tcPr>
            <w:tcW w:type="dxa" w:w="3456"/>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Multi-tiered visual badges (Green/Yellow/Red Blinking) + REST APIs</w:t>
            </w:r>
          </w:p>
        </w:tc>
      </w:tr>
      <w:tr>
        <w:trPr>
          <w:trHeight w:val="340" w:hRule="atLeast"/>
        </w:trPr>
        <w:tc>
          <w:tcPr>
            <w:tcW w:type="dxa" w:w="2592"/>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Hardware &amp; Deployment Cost</w:t>
            </w:r>
          </w:p>
        </w:tc>
        <w:tc>
          <w:tcPr>
            <w:tcW w:type="dxa" w:w="3312"/>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High capital cost (Proprietary hospital monitors: $2,500+)</w:t>
            </w:r>
          </w:p>
        </w:tc>
        <w:tc>
          <w:tcPr>
            <w:tcW w:type="dxa" w:w="3456"/>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Low-cost modular open-hardware architecture (&lt; $100 using ESP32 &amp; Pi 5)</w:t>
            </w:r>
          </w:p>
        </w:tc>
      </w:tr>
      <w:tr>
        <w:trPr>
          <w:trHeight w:val="340" w:hRule="atLeast"/>
        </w:trPr>
        <w:tc>
          <w:tcPr>
            <w:tcW w:type="dxa" w:w="2592"/>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Patient Data Privacy</w:t>
            </w:r>
          </w:p>
        </w:tc>
        <w:tc>
          <w:tcPr>
            <w:tcW w:type="dxa" w:w="3312"/>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Vitals transmitted over third-party commercial cloud servers</w:t>
            </w:r>
          </w:p>
        </w:tc>
        <w:tc>
          <w:tcPr>
            <w:tcW w:type="dxa" w:w="3456"/>
            <w:vAlign w:val="center"/>
            <w:tcMar>
              <w:top w:w="90" w:type="dxa"/>
              <w:left w:w="120" w:type="dxa"/>
              <w:bottom w:w="90" w:type="dxa"/>
              <w:right w:w="120" w:type="dxa"/>
            </w:tcMar>
          </w:tcPr>
          <w:p>
            <w:pPr>
              <w:spacing w:before="40" w:after="40" w:line="252" w:lineRule="auto"/>
              <w:jc w:val="left"/>
            </w:pPr>
            <w:r>
              <w:rPr>
                <w:rFonts w:ascii="Times New Roman" w:hAnsi="Times New Roman"/>
                <w:color w:val="000000"/>
                <w:sz w:val="21"/>
              </w:rPr>
              <w:t>Localized edge persistence with hashed administrative authentication (/admin)</w:t>
            </w:r>
          </w:p>
        </w:tc>
      </w:tr>
    </w:tbl>
    <w:p>
      <w:pPr>
        <w:spacing w:before="120" w:after="120"/>
        <w:jc w:val="center"/>
      </w:pPr>
      <w:r>
        <w:rPr>
          <w:rFonts w:ascii="Times New Roman" w:hAnsi="Times New Roman"/>
          <w:b w:val="0"/>
          <w:color w:val="000000"/>
          <w:sz w:val="22"/>
        </w:rPr>
        <w:t>Table 6: Existing System vs Proposed System Comparison</w:t>
      </w:r>
    </w:p>
    <w:p>
      <w:pPr>
        <w:spacing w:before="0" w:after="120" w:line="276" w:lineRule="auto"/>
        <w:jc w:val="both"/>
      </w:pPr>
      <w:r>
        <w:rPr>
          <w:rFonts w:ascii="Times New Roman" w:hAnsi="Times New Roman"/>
          <w:b w:val="0"/>
          <w:i w:val="0"/>
          <w:color w:val="000000"/>
          <w:sz w:val="24"/>
        </w:rPr>
        <w:t>The comparison shows how Proposed System (Quantum HealthGuard) improves real-time vital visibility, anomaly detection accuracy, offline reliability, patient privacy, and edge computational efficiency over existing traditional patient monitoring systems.</w:t>
      </w:r>
    </w:p>
    <w:p>
      <w:r>
        <w:br w:type="page"/>
      </w:r>
    </w:p>
    <w:p>
      <w:pPr>
        <w:spacing w:before="320" w:after="160"/>
        <w:jc w:val="left"/>
      </w:pPr>
      <w:r>
        <w:rPr>
          <w:rFonts w:ascii="Times New Roman" w:hAnsi="Times New Roman"/>
          <w:b/>
          <w:color w:val="000000"/>
          <w:sz w:val="30"/>
        </w:rPr>
        <w:t>5.3 Resulting Graphs</w:t>
      </w:r>
    </w:p>
    <w:p>
      <w:pPr>
        <w:spacing w:before="240" w:after="120"/>
        <w:jc w:val="left"/>
      </w:pPr>
      <w:r>
        <w:rPr>
          <w:rFonts w:ascii="Times New Roman" w:hAnsi="Times New Roman"/>
          <w:b/>
          <w:color w:val="000000"/>
          <w:sz w:val="26"/>
        </w:rPr>
        <w:t>5.3.1 Result Graph 1: Real-Time Patient Physiological Vitals Trend</w:t>
      </w:r>
    </w:p>
    <w:p>
      <w:pPr>
        <w:spacing w:before="80" w:after="80"/>
        <w:jc w:val="center"/>
      </w:pPr>
      <w:r>
        <w:drawing>
          <wp:inline xmlns:a="http://schemas.openxmlformats.org/drawingml/2006/main" xmlns:pic="http://schemas.openxmlformats.org/drawingml/2006/picture">
            <wp:extent cx="5669280" cy="3114112"/>
            <wp:docPr id="1" name="Picture 1"/>
            <wp:cNvGraphicFramePr>
              <a:graphicFrameLocks noChangeAspect="1"/>
            </wp:cNvGraphicFramePr>
            <a:graphic>
              <a:graphicData uri="http://schemas.openxmlformats.org/drawingml/2006/picture">
                <pic:pic>
                  <pic:nvPicPr>
                    <pic:cNvPr id="0" name="Graph_1_Vitals_Trend.png"/>
                    <pic:cNvPicPr/>
                  </pic:nvPicPr>
                  <pic:blipFill>
                    <a:blip r:embed="rId9"/>
                    <a:stretch>
                      <a:fillRect/>
                    </a:stretch>
                  </pic:blipFill>
                  <pic:spPr>
                    <a:xfrm>
                      <a:off x="0" y="0"/>
                      <a:ext cx="5669280" cy="3114112"/>
                    </a:xfrm>
                    <a:prstGeom prst="rect"/>
                  </pic:spPr>
                </pic:pic>
              </a:graphicData>
            </a:graphic>
          </wp:inline>
        </w:drawing>
      </w:r>
    </w:p>
    <w:p>
      <w:pPr>
        <w:spacing w:before="120" w:after="120"/>
        <w:jc w:val="center"/>
      </w:pPr>
      <w:r>
        <w:rPr>
          <w:rFonts w:ascii="Times New Roman" w:hAnsi="Times New Roman"/>
          <w:b w:val="0"/>
          <w:color w:val="000000"/>
          <w:sz w:val="22"/>
        </w:rPr>
        <w:t>Graph 1: Real-Time Patient Physiological Vitals Trend</w:t>
      </w:r>
    </w:p>
    <w:p>
      <w:pPr>
        <w:spacing w:after="240" w:line="276" w:lineRule="auto"/>
        <w:jc w:val="both"/>
      </w:pPr>
      <w:r>
        <w:rPr>
          <w:rFonts w:ascii="Times New Roman" w:hAnsi="Times New Roman"/>
          <w:b/>
          <w:sz w:val="22"/>
        </w:rPr>
        <w:t xml:space="preserve">Observation: </w:t>
      </w:r>
      <w:r>
        <w:rPr>
          <w:rFonts w:ascii="Times New Roman" w:hAnsi="Times New Roman"/>
          <w:sz w:val="22"/>
        </w:rPr>
        <w:t>The graph represents the continuous real-time variation of the patient's heart rate captured by the MAX30102 pulse sensor over time. It demonstrates stable normal hemodynamic tracking (70–78 BPM) and highlights detected transient episodes of tachycardia (&gt; 110 BPM) and resting intervals. It helps clinicians monitor hemodynamic stability and identify periods of elevated cardiovascular stress.</w:t>
      </w:r>
    </w:p>
    <w:p>
      <w:pPr>
        <w:spacing w:before="240" w:after="120"/>
        <w:jc w:val="left"/>
      </w:pPr>
      <w:r>
        <w:rPr>
          <w:rFonts w:ascii="Times New Roman" w:hAnsi="Times New Roman"/>
          <w:b/>
          <w:color w:val="000000"/>
          <w:sz w:val="26"/>
        </w:rPr>
        <w:t>5.3.2 Result Graph 2: Actual Hourly Vitals and 24-Hour Quantum Risk Forecast</w:t>
      </w:r>
    </w:p>
    <w:p>
      <w:pPr>
        <w:spacing w:before="80" w:after="80"/>
        <w:jc w:val="center"/>
      </w:pPr>
      <w:r>
        <w:drawing>
          <wp:inline xmlns:a="http://schemas.openxmlformats.org/drawingml/2006/main" xmlns:pic="http://schemas.openxmlformats.org/drawingml/2006/picture">
            <wp:extent cx="5669280" cy="3114112"/>
            <wp:docPr id="2" name="Picture 2"/>
            <wp:cNvGraphicFramePr>
              <a:graphicFrameLocks noChangeAspect="1"/>
            </wp:cNvGraphicFramePr>
            <a:graphic>
              <a:graphicData uri="http://schemas.openxmlformats.org/drawingml/2006/picture">
                <pic:pic>
                  <pic:nvPicPr>
                    <pic:cNvPr id="0" name="Graph_2_Hourly_Risk_Forecast.png"/>
                    <pic:cNvPicPr/>
                  </pic:nvPicPr>
                  <pic:blipFill>
                    <a:blip r:embed="rId10"/>
                    <a:stretch>
                      <a:fillRect/>
                    </a:stretch>
                  </pic:blipFill>
                  <pic:spPr>
                    <a:xfrm>
                      <a:off x="0" y="0"/>
                      <a:ext cx="5669280" cy="3114112"/>
                    </a:xfrm>
                    <a:prstGeom prst="rect"/>
                  </pic:spPr>
                </pic:pic>
              </a:graphicData>
            </a:graphic>
          </wp:inline>
        </w:drawing>
      </w:r>
    </w:p>
    <w:p>
      <w:pPr>
        <w:spacing w:before="120" w:after="120"/>
        <w:jc w:val="center"/>
      </w:pPr>
      <w:r>
        <w:rPr>
          <w:rFonts w:ascii="Times New Roman" w:hAnsi="Times New Roman"/>
          <w:b w:val="0"/>
          <w:color w:val="000000"/>
          <w:sz w:val="22"/>
        </w:rPr>
        <w:t>Graph 2: Actual Hourly Patient Risk Events and 24-Hour Forecast</w:t>
      </w:r>
    </w:p>
    <w:p>
      <w:pPr>
        <w:spacing w:after="240" w:line="276" w:lineRule="auto"/>
        <w:jc w:val="both"/>
      </w:pPr>
      <w:r>
        <w:rPr>
          <w:rFonts w:ascii="Times New Roman" w:hAnsi="Times New Roman"/>
          <w:b/>
          <w:sz w:val="22"/>
        </w:rPr>
        <w:t xml:space="preserve">Observation: </w:t>
      </w:r>
      <w:r>
        <w:rPr>
          <w:rFonts w:ascii="Times New Roman" w:hAnsi="Times New Roman"/>
          <w:sz w:val="22"/>
        </w:rPr>
        <w:t>The graph compares actual hourly patient anomaly occurrences with the predicted cardiovascular risk trajectory over a 24-hour monitoring period. The system utilizes deterministic edge safety thresholding for instantaneous alarms and the Qiskit Quantum Support Vector Classifier (QSVC) for predictive risk forecasting across diurnal cycles. This helps clinicians anticipate decompensation periods and allocate intensive care resources proactively.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