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John Smith</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[REVIEW: Provide Ensure your SAN has the exact addressee of this EL as an Engaging Party and that this addressee also has an approved CEAC Client Acceptance with KPMG Canada. This is the “3-way match” concept.]</w:t>
      </w:r>
      <w:r w:rsidR="0072697C" w:rsidRPr="0072697C">
        <w:rPr>
          <w:rFonts w:asciiTheme="minorHAnsi" w:hAnsiTheme="minorHAnsi" w:cstheme="minorHAnsi"/>
          <w:i/>
          <w:iCs/>
          <w:color w:val="FF0000"/>
          <w:sz w:val="20"/>
          <w:highlight w:val="yellow"/>
        </w:rPr>
      </w:r>
      <w:r w:rsidR="0072697C">
        <w:rPr>
          <w:rFonts w:asciiTheme="minorHAnsi" w:hAnsiTheme="minorHAnsi" w:cstheme="minorHAnsi"/>
          <w:i/>
          <w:iCs/>
          <w:color w:val="FF0000"/>
          <w:sz w:val="20"/>
          <w:highlight w:val="yellow"/>
        </w:rPr>
      </w:r>
      <w:r w:rsidR="0072697C" w:rsidRPr="00F97C1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Acme Holdings Inc.</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HealthCo Medical Clinics Inc.</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acquisition of</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Atlas</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a PDF written report and an Excel data book</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John Smith</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January 20, 2026</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February 15, 2026</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Jane Doe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Robert Chen</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Michael Williams</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We are pleased to offer a 10%</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acquisition of</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(estimates are net of your 10%</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150,000</w:t>
      </w:r>
      <w:r w:rsidR="008E3375" w:rsidRPr="008E3375">
        <w:rPr>
          <w:rFonts w:asciiTheme="minorHAnsi" w:hAnsiTheme="minorHAnsi" w:cstheme="minorHAnsi"/>
          <w:sz w:val="20"/>
        </w:rPr>
        <w:t xml:space="preserve"> to </w:t>
      </w:r>
      <w:r w:rsidR="00200416">
        <w:rPr>
          <w:rFonts w:asciiTheme="minorHAnsi" w:hAnsiTheme="minorHAnsi" w:cstheme="minorHAnsi"/>
          <w:sz w:val="20"/>
        </w:rPr>
        <w:t>200,000</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30,000</w:t>
      </w:r>
      <w:r w:rsidR="008E3375" w:rsidRPr="008E3375">
        <w:rPr>
          <w:rFonts w:asciiTheme="minorHAnsi" w:hAnsiTheme="minorHAnsi" w:cstheme="minorHAnsi"/>
          <w:sz w:val="20"/>
        </w:rPr>
        <w:t xml:space="preserve"> to </w:t>
      </w:r>
      <w:r w:rsidR="00200416">
        <w:rPr>
          <w:rFonts w:asciiTheme="minorHAnsi" w:hAnsiTheme="minorHAnsi" w:cstheme="minorHAnsi"/>
          <w:sz w:val="20"/>
        </w:rPr>
        <w:t>50,000</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Acme Holdings Inc.</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Target </w:t>
      </w:r>
      <w:r w:rsidR="00200416">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 and 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interesting and challenging</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Acme Holdings Inc.</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Acme Holdings Inc.</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Gain an understanding of the project/contracting model, including service lines, end markets, geographic footprint, and typical contract types.</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backlog, bidding pipeline, and key customers/projects, including customer concentration.</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subcontractor usage, sourcing/procurement practices, and key suppliers.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6"/>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channel, and/or market segment, as applicable; and</w:t>
      </w:r>
    </w:p>
    <w:p w14:paraId="45E4FF87" w14:textId="77777777" w:rsidR="003C4524" w:rsidRPr="00FF7051" w:rsidRDefault="003C4524" w:rsidP="00783715">
      <w:pPr>
        <w:pStyle w:val="BodyText"/>
        <w:numPr>
          <w:ilvl w:val="0"/>
          <w:numId w:val="49"/>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and mix trends.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 key drivers of revenue and margin over the Historical Period, including:</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Major customer/contract wins or losses and timing impacts;</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items affecting period results; and</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market, or seasonal factors affecting demand and fulfillment.</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revenue quality and related balances, and inquire about:</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and any recent changes;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 and collection terms, including significant deviations from standard terms;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Credits, rebates, returns, and other contra-revenue items;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Concentration/dependency risk; and</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unusual items affecting reported revenue or gross margin.</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Analyze revenue and gross margin trends by project type, geography, and major customer.</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contract pricing structures (fixed price, time and materials, unit price) and change order practices.</w:t>
      </w:r>
    </w:p>
    <w:p w14:paraId="659699C4" w14:textId="77777777" w:rsidR="003C4524" w:rsidRPr="00FF7051" w:rsidRDefault="003C4524" w:rsidP="00783715">
      <w:pPr>
        <w:pStyle w:val="BodyText"/>
        <w:numPr>
          <w:ilvl w:val="0"/>
          <w:numId w:val="48"/>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seasonality and weather/field-operations impacts on revenue and margin.</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2"/>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3"/>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54"/>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5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5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billing practices, including progress billings, retention, and contract assets/liabilities.</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aging, collectability, disputes/claims, and change-order collectability.</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concentration and credit risk by customer and project.</w:t>
      </w:r>
    </w:p>
    <w:p w14:paraId="659699C4" w14:textId="77777777" w:rsidR="003C4524" w:rsidRPr="00FF7051" w:rsidRDefault="003C4524" w:rsidP="00783715">
      <w:pPr>
        <w:pStyle w:val="BodyText"/>
        <w:numPr>
          <w:ilvl w:val="0"/>
          <w:numId w:val="56"/>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work-in-progress (WIP) reporting and inquire and comment on:</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Percentage-of-completion methodology and inputs (cost-to-complete, estimated gross margin);</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Under/over billings and their drivers;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Job-level margin fade/gain and change-order tracking; and</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Backlog composition, burn-off, and conversion assumptions.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subcontractor payables, accrued costs, and cut-off practices.</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payroll/union accruals (if applicable), accrued project costs, and cut-off controls for subcontractor and supplier expenses.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63"/>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659699C4" w14:textId="77777777" w:rsidR="003C4524" w:rsidRPr="00FF7051" w:rsidRDefault="003C4524" w:rsidP="00783715">
      <w:pPr>
        <w:pStyle w:val="BodyText"/>
        <w:numPr>
          <w:ilvl w:val="0"/>
          <w:numId w:val="63"/>
        </w:numPr>
        <w:spacing w:line="260" w:lineRule="exact"/>
        <w:ind w:left="720"/>
        <w:rPr>
          <w:rFonts w:asciiTheme="minorHAnsi" w:hAnsiTheme="minorHAnsi" w:cstheme="minorHAnsi"/>
          <w:sz w:val="20"/>
        </w:rPr>
      </w:pPr>
      <w:r w:rsidRPr="00FF7051">
        <w:rPr>
          <w:rFonts w:asciiTheme="minorHAnsi" w:hAnsiTheme="minorHAnsi" w:cstheme="minorHAnsi"/>
          <w:b w:val="0"/>
          <w:sz w:val="20"/>
        </w:rPr>
        <w:t>Bonding capacity and surety requirements (if applicable).</w:t>
      </w:r>
    </w:p>
    <w:p w14:paraId="659699C4" w14:textId="77777777" w:rsidR="003C4524" w:rsidRPr="00FF7051" w:rsidRDefault="003C4524" w:rsidP="00783715">
      <w:pPr>
        <w:pStyle w:val="BodyText"/>
        <w:numPr>
          <w:ilvl w:val="0"/>
          <w:numId w:val="63"/>
        </w:numPr>
        <w:spacing w:line="260" w:lineRule="exact"/>
        <w:ind w:left="720"/>
        <w:rPr>
          <w:rFonts w:asciiTheme="minorHAnsi" w:hAnsiTheme="minorHAnsi" w:cstheme="minorHAnsi"/>
          <w:sz w:val="20"/>
        </w:rPr>
      </w:pPr>
      <w:r w:rsidRPr="00FF7051">
        <w:rPr>
          <w:rFonts w:asciiTheme="minorHAnsi" w:hAnsiTheme="minorHAnsi" w:cstheme="minorHAnsi"/>
          <w:b w:val="0"/>
          <w:sz w:val="20"/>
        </w:rPr>
        <w:t>Warranty obligations, claims, liquidated damages, and performance obligations, including project-specific disputes.</w:t>
      </w:r>
    </w:p>
    <w:p w14:paraId="659699C4" w14:textId="77777777" w:rsidR="003C4524" w:rsidRPr="00FF7051" w:rsidRDefault="003C4524" w:rsidP="00783715">
      <w:pPr>
        <w:pStyle w:val="BodyText"/>
        <w:numPr>
          <w:ilvl w:val="0"/>
          <w:numId w:val="63"/>
        </w:numPr>
        <w:spacing w:line="260" w:lineRule="exact"/>
        <w:ind w:left="720"/>
        <w:rPr>
          <w:rFonts w:asciiTheme="minorHAnsi" w:hAnsiTheme="minorHAnsi" w:cstheme="minorHAnsi"/>
          <w:sz w:val="20"/>
        </w:rPr>
      </w:pPr>
      <w:r w:rsidRPr="00FF7051">
        <w:rPr>
          <w:rFonts w:asciiTheme="minorHAnsi" w:hAnsiTheme="minorHAnsi" w:cstheme="minorHAnsi"/>
          <w:b w:val="0"/>
          <w:sz w:val="20"/>
        </w:rPr>
        <w:t>Long-lead materials exposure, escalation clauses, and related purchase commitments.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John Smith</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Atlas</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acquisition of</w:t>
      </w:r>
      <w:r w:rsidR="00077BF0">
        <w:rPr>
          <w:rFonts w:asciiTheme="minorHAnsi" w:hAnsiTheme="minorHAnsi" w:cstheme="minorHAnsi"/>
          <w:sz w:val="20"/>
        </w:rPr>
        <w:t xml:space="preserve"> </w:t>
      </w:r>
      <w:r w:rsidR="00200416">
        <w:rPr>
          <w:rFonts w:asciiTheme="minorHAnsi" w:hAnsiTheme="minorHAnsi" w:cstheme="minorHAnsi"/>
          <w:sz w:val="20"/>
        </w:rPr>
        <w:t>the cardiac services division of HealthCo</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Acme Holdings Inc.</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David Wilson</w:t>
      </w:r>
    </w:p>
    <w:p w14:paraId="15D401D2" w14:textId="77777777" w:rsidR="00D62D05" w:rsidRPr="00727A4C" w:rsidRDefault="00200416" w:rsidP="00783715">
      <w:pPr>
        <w:spacing w:line="260" w:lineRule="atLeast"/>
        <w:ind w:right="360"/>
        <w:rPr>
          <w:rFonts w:cs="Arial"/>
          <w:sz w:val="20"/>
        </w:rPr>
      </w:pPr>
      <w:r>
        <w:rPr>
          <w:rFonts w:cs="Arial"/>
          <w:sz w:val="20"/>
        </w:rPr>
        <w:t>Buyer Co. Advisors LLP</w:t>
      </w:r>
    </w:p>
    <w:p w14:paraId="01569103" w14:textId="77777777" w:rsidR="00D62D05" w:rsidRPr="00727A4C" w:rsidRDefault="00200416" w:rsidP="00783715">
      <w:pPr>
        <w:spacing w:line="260" w:lineRule="atLeast"/>
        <w:ind w:right="360"/>
        <w:rPr>
          <w:rFonts w:cs="Arial"/>
          <w:sz w:val="20"/>
        </w:rPr>
      </w:pPr>
      <w:r>
        <w:rPr>
          <w:rFonts w:cs="Arial"/>
          <w:sz w:val="20"/>
        </w:rPr>
        <w:t>123 Bay Street, Suite 4000</w:t>
      </w:r>
    </w:p>
    <w:p w14:paraId="7105CAA5" w14:textId="77777777" w:rsidR="00D62D05" w:rsidRPr="00727A4C" w:rsidRDefault="00200416" w:rsidP="00783715">
      <w:pPr>
        <w:spacing w:line="260" w:lineRule="atLeast"/>
        <w:ind w:right="360"/>
        <w:rPr>
          <w:rFonts w:cs="Arial"/>
          <w:sz w:val="20"/>
        </w:rPr>
      </w:pPr>
      <w:r>
        <w:rPr>
          <w:rFonts w:cs="Arial"/>
          <w:sz w:val="20"/>
        </w:rPr>
        <w:t>Toronto, Ontario M5J 2T3</w:t>
      </w:r>
    </w:p>
    <w:p w14:paraId="063C22BE" w14:textId="77777777" w:rsidR="00D62D05" w:rsidRDefault="00200416" w:rsidP="00783715">
      <w:pPr>
        <w:spacing w:line="260" w:lineRule="atLeast"/>
        <w:ind w:right="360"/>
        <w:rPr>
          <w:rFonts w:cs="Arial"/>
          <w:sz w:val="20"/>
        </w:rPr>
      </w:pPr>
      <w:r>
        <w:rPr>
          <w:rFonts w:cs="Arial"/>
          <w:sz w:val="20"/>
        </w:rPr>
        <w:t>[REVIEW: Provide 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February 1, 2026</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Atlas</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acquisition</w:t>
      </w:r>
      <w:r w:rsidR="00C37147">
        <w:rPr>
          <w:rFonts w:ascii="Arial" w:hAnsi="Arial" w:cs="Arial"/>
          <w:sz w:val="20"/>
        </w:rPr>
        <w:t xml:space="preserve"> </w:t>
      </w:r>
      <w:r w:rsidR="00200416">
        <w:rPr>
          <w:rFonts w:ascii="Arial" w:hAnsi="Arial" w:cs="Arial"/>
          <w:sz w:val="20"/>
        </w:rPr>
        <w:t>HealthCo Medical Clinics Inc.</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our due diligence report relating to Project 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Buyer Co. Advisors LLP</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Acme Holdings</w:t>
    </w:r>
  </w:p>
  <w:p w14:paraId="1D70539D" w14:textId="77777777" w:rsidR="00106DAC" w:rsidRDefault="00200416" w:rsidP="00D007CC">
    <w:pPr>
      <w:pStyle w:val="Header"/>
      <w:jc w:val="right"/>
    </w:pPr>
    <w:r>
      <w:t>Project Atlas</w:t>
    </w:r>
  </w:p>
  <w:p w14:paraId="79447344" w14:textId="77777777" w:rsidR="00106DAC" w:rsidRDefault="00200416"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4"/>
    <w:lvlOverride w:ilvl="0">
      <w:startOverride w:val="1"/>
    </w:lvlOverride>
  </w:num>
  <w:num w:numId="44">
    <w:abstractNumId w:val="30"/>
    <w:lvlOverride w:ilvl="0">
      <w:startOverride w:val="1"/>
    </w:lvlOverride>
  </w:num>
  <w:num w:numId="45">
    <w:abstractNumId w:val="30"/>
    <w:lvlOverride w:ilvl="0">
      <w:startOverride w:val="1"/>
    </w:lvlOverride>
  </w:num>
  <w:num w:numId="46">
    <w:abstractNumId w:val="34"/>
    <w:lvlOverride w:ilvl="0">
      <w:startOverride w:val="1"/>
    </w:lvlOverride>
  </w:num>
  <w:num w:numId="47">
    <w:abstractNumId w:val="30"/>
    <w:lvlOverride w:ilvl="0">
      <w:startOverride w:val="1"/>
    </w:lvlOverride>
  </w:num>
  <w:num w:numId="48">
    <w:abstractNumId w:val="34"/>
    <w:lvlOverride w:ilvl="0">
      <w:startOverride w:val="1"/>
    </w:lvlOverride>
  </w:num>
  <w:num w:numId="49">
    <w:abstractNumId w:val="30"/>
    <w:lvlOverride w:ilvl="0">
      <w:startOverride w:val="1"/>
    </w:lvlOverride>
  </w:num>
  <w:num w:numId="50">
    <w:abstractNumId w:val="30"/>
    <w:lvlOverride w:ilvl="0">
      <w:startOverride w:val="1"/>
    </w:lvlOverride>
  </w:num>
  <w:num w:numId="51">
    <w:abstractNumId w:val="30"/>
    <w:lvlOverride w:ilvl="0">
      <w:startOverride w:val="1"/>
    </w:lvlOverride>
  </w:num>
  <w:num w:numId="52">
    <w:abstractNumId w:val="34"/>
    <w:lvlOverride w:ilvl="0">
      <w:startOverride w:val="1"/>
    </w:lvlOverride>
  </w:num>
  <w:num w:numId="53">
    <w:abstractNumId w:val="30"/>
    <w:lvlOverride w:ilvl="0">
      <w:startOverride w:val="1"/>
    </w:lvlOverride>
  </w:num>
  <w:num w:numId="54">
    <w:abstractNumId w:val="34"/>
    <w:lvlOverride w:ilvl="0">
      <w:startOverride w:val="1"/>
    </w:lvlOverride>
  </w:num>
  <w:num w:numId="55">
    <w:abstractNumId w:val="30"/>
    <w:lvlOverride w:ilvl="0">
      <w:startOverride w:val="1"/>
    </w:lvlOverride>
  </w:num>
  <w:num w:numId="56">
    <w:abstractNumId w:val="34"/>
    <w:lvlOverride w:ilvl="0">
      <w:startOverride w:val="1"/>
    </w:lvlOverride>
  </w:num>
  <w:num w:numId="57">
    <w:abstractNumId w:val="30"/>
    <w:lvlOverride w:ilvl="0">
      <w:startOverride w:val="1"/>
    </w:lvlOverride>
  </w:num>
  <w:num w:numId="58">
    <w:abstractNumId w:val="30"/>
    <w:lvlOverride w:ilvl="0">
      <w:startOverride w:val="1"/>
    </w:lvlOverride>
  </w:num>
  <w:num w:numId="59">
    <w:abstractNumId w:val="34"/>
    <w:lvlOverride w:ilvl="0">
      <w:startOverride w:val="1"/>
    </w:lvlOverride>
  </w:num>
  <w:num w:numId="60">
    <w:abstractNumId w:val="30"/>
    <w:lvlOverride w:ilvl="0">
      <w:startOverride w:val="1"/>
    </w:lvlOverride>
  </w:num>
  <w:num w:numId="61">
    <w:abstractNumId w:val="34"/>
    <w:lvlOverride w:ilvl="0">
      <w:startOverride w:val="1"/>
    </w:lvlOverride>
  </w:num>
  <w:num w:numId="62">
    <w:abstractNumId w:val="30"/>
    <w:lvlOverride w:ilvl="0">
      <w:startOverride w:val="1"/>
    </w:lvlOverride>
  </w:num>
  <w:num w:numId="63">
    <w:abstractNumId w:val="34"/>
    <w:lvlOverride w:ilvl="0">
      <w:startOverride w:val="1"/>
    </w:lvlOverride>
  </w:num>
  <w:num w:numId="64">
    <w:abstractNumId w:val="30"/>
    <w:lvlOverride w:ilvl="0">
      <w:startOverride w:val="1"/>
    </w:lvlOverride>
  </w:num>
  <w:num w:numId="65">
    <w:abstractNumId w:val="34"/>
    <w:lvlOverride w:ilvl="0">
      <w:startOverride w:val="1"/>
    </w:lvlOverride>
  </w:num>
  <w:num w:numId="66">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