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background information of Target, including its: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Organizational structure, ownership and management reporting relationships;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 / service offerings;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customer segments and regions served;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Financial reporting and information systems (including process, timing, structure of financial reporting, and interaction with the information/accounting systems).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Reconciliation of management internal reporting packages to audited financial statements, where available.</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recognition for service and project contracts (including period-end true-ups) and related billing practices.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Intercompany transactions and cost allocation practices specific to branch/network operations.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HVAC-specific EBITDA normalization considerations,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Pricing pass-through timing and gross-margin lag effects from labour and commodity cost changes;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Cash-to-accrual timing differences and period-end true-ups affecting reported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Branch openings, closures, or acquisitions and related run-rate impacts;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Warranty, claim, and reserve movements that may affect normalized earnings;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non-recurring operational events identified during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and margin trends by service offering (for example: service, installation/project, and maintenance contract streams).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and margin trends by customer end-market and geography.</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Backlog and committed pipeline analysis, including conversion timing and cancellation risk.</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Contract renewal/retention profile and effectiveness of cross-sell activity, where measurable.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Direct cost drivers for field operations (for example: labour mix, subcontractor usage, materials, vehicles, and tools/equipment).</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Branch-level occupancy, utilities, and other location operating costs.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Compensation structure and productivity metrics by role, including incentive compensation design.</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Insurance and warranty-related cost trends and reserve adequacy considerations.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the company's historical monthly working capital patterns and consider an appropriate “target working capital” peg for purposes of a purchase price adjustment mechanism; and assess the level of working capital required to support future growth.</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the composition of individual working capital accounts and monthly working capital trends including working capital days metrics (i.e. DSO and DPO).</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potential adjustments for large non-recurring, unusual or non-operating items that may have affected normal working capital trends, (such as accruals for bonuses, non-trade balances, etc.)</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normalize historical working capital in the business including: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Commenting on the working capital trends, for the respective period;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key drivers (i.e., seasonality, accounts payable days, days sales outstanding, inventory days);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Identifying large or unusual non-recurring items that may have impacted normal working capital trends including potential items identified within the quality of earnings analysis noted above.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inventory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Aging analysis by component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write-offs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provision roll forward including methodology and calculation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Prepaids And Other Current Assets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prepaids and other current assets including composition</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summary of and comment on unusual items, significant fluctuations, and significant balances.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Aging and concentration analysis by major customer, including contract-related billing terms.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Reserve roll-forward, write-off trends, credit balances, and other collection adjustments.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Accounts payable aging, major-vendor settlement terms, and days payable outstanding trends.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Accrued liabilities profile (including payroll/PTO, bonus/commission cadence, and deferred revenue timing considerations).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current liability balances and unusual movements affecting working capital comparability.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existing capital costs and inquire about:</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Impairment write-downs and issues.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Long-term debt, Finance lease obligations, and other long-term liabilities;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Deferred revenue / Contingent considerations / earnouts on acquisitions / warranty &amp; insurance reserves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Post-retirement obligations or incentive compensation;</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significant and/or unusual liabilities including off-balance sheet liabilities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Pending or threatened litigations by regulatory or other authorities and by employees;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Significant lease and purchase obligations; and</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Related Parties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the nature and extent of related party transactions and basis for pricing arrangements.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4"/>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4"/>
    <w:lvlOverride w:ilvl="0">
      <w:startOverride w:val="1"/>
    </w:lvlOverride>
  </w:num>
  <w:num w:numId="48">
    <w:abstractNumId w:val="30"/>
    <w:lvlOverride w:ilvl="0">
      <w:startOverride w:val="1"/>
    </w:lvlOverride>
  </w:num>
  <w:num w:numId="49">
    <w:abstractNumId w:val="30"/>
    <w:lvlOverride w:ilvl="0">
      <w:startOverride w:val="1"/>
    </w:lvlOverride>
  </w:num>
  <w:num w:numId="50">
    <w:abstractNumId w:val="34"/>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4"/>
    <w:lvlOverride w:ilvl="0">
      <w:startOverride w:val="1"/>
    </w:lvlOverride>
  </w:num>
  <w:num w:numId="67">
    <w:abstractNumId w:val="30"/>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0"/>
    <w:lvlOverride w:ilvl="0">
      <w:startOverride w:val="1"/>
    </w:lvlOverride>
  </w:num>
  <w:num w:numId="71">
    <w:abstractNumId w:val="34"/>
    <w:lvlOverride w:ilvl="0">
      <w:startOverride w:val="1"/>
    </w:lvlOverride>
  </w:num>
  <w:num w:numId="72">
    <w:abstractNumId w:val="34"/>
    <w:lvlOverride w:ilvl="0">
      <w:startOverride w:val="1"/>
    </w:lvlOverride>
  </w:num>
  <w:num w:numId="73">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