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available information and meet with Target's officers in order to develop an understanding of Target, including its: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 and management reporting relationships;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including percentage-of-completion (POC) revenue;</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 including financial reporting, cost allocation methodologies, and consistency in accounting policies; and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7"/>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47"/>
        </w:numPr>
        <w:spacing w:line="260" w:lineRule="exact"/>
        <w:ind w:left="720"/>
        <w:rPr>
          <w:rFonts w:asciiTheme="minorHAnsi" w:hAnsiTheme="minorHAnsi" w:cstheme="minorHAnsi"/>
          <w:sz w:val="20"/>
        </w:rPr>
      </w:pPr>
      <w:r w:rsidRPr="00FF7051">
        <w:rPr>
          <w:rFonts w:asciiTheme="minorHAnsi" w:hAnsiTheme="minorHAnsi" w:cstheme="minorHAnsi"/>
          <w:b w:val="0"/>
          <w:sz w:val="20"/>
        </w:rPr>
        <w:t>Subject to information availability, propose potential adjustments to historical earnings before interest, taxes, depreciation, and amortization (EBITDA) by considering: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Sustainability of margins (including the impact of changes in POC estimates on the Target's earnings);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Changes in Members'/Partners' remuneration;</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cash flows not captured within EBITDA (for example: capitalized software costs and capitalized leases);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Contract-level profitability estimate revisions and true-ups (for example: changes in estimates to complete under POC methodology).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revenue, direct expenses, and margins, and inquire about:</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Gross-to-net revenue bridge, including payments to consultants and subcontractors;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margins by key customer and project;</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POC and typical gross-profit recognition patterns (for example: allocation of profits between project phases);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Key performance indicators (for example: proposal win rates, personnel availability/utilization rates, and billing rates);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Backlog, including timing of realization; and</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Pipeline/opportunities, including win probabilities.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operating expenses and inquire about:</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Headcount and personnel costs, including salaries, benefits, commissions, and incentive plans; and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Lease costs, including lease contracts close to expiry and related renewal/relocation plans.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working capital trends/seasonality for the most recent trailing-twelve-month period and prior two to three fiscal years (based on information availability).</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sensitivities for cash flow management and normalize for items that may impact normal working capital trends.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the impact of potential non-recurring items.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Evaluate billing and collection dynamics specific to time-and-materials and fixed-fee engagements, including: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Unbilled receivables and cycle time from time entry to invoicing;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Retainers and client deposits recorded as deferred revenue or other liabilities;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Disputed billings and write-off trends by service line.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 In Progress</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summary of work in progress (amounts recoverable on contracts) by project/customer and comment on unusual items, fluctuations, and significant balances.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Other Current Assets Liabilities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the nature of other current assets and liabilities, and the valuation principles applied thereto.</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and accrued liabilities, inquiring about accounts payable aging/days outstanding and accrued-liability profiles. Analyze the expected unwind of deferred income.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property, plant, and equipment capital expenditures and inquire about historical, deferred, and planned capital expenditures, including:</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capex;</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capex; and</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Impairment write-downs and other potential issues.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reported net debt items and other potential debt-like items within the transaction perimeter, including:</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Lease liabilities;</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Corporate taxes payable;</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Pension liabilities;</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Derivative financial instruments, if applicable;</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Non-operating accruals;</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and</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Commitments, contingencies, and other material off-balance-sheet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0"/>
    <w:lvlOverride w:ilvl="0">
      <w:startOverride w:val="1"/>
    </w:lvlOverride>
  </w:num>
  <w:num w:numId="44">
    <w:abstractNumId w:val="34"/>
    <w:lvlOverride w:ilvl="0">
      <w:startOverride w:val="1"/>
    </w:lvlOverride>
  </w:num>
  <w:num w:numId="45">
    <w:abstractNumId w:val="30"/>
    <w:lvlOverride w:ilvl="0">
      <w:startOverride w:val="1"/>
    </w:lvlOverride>
  </w:num>
  <w:num w:numId="46">
    <w:abstractNumId w:val="30"/>
    <w:lvlOverride w:ilvl="0">
      <w:startOverride w:val="1"/>
    </w:lvlOverride>
  </w:num>
  <w:num w:numId="47">
    <w:abstractNumId w:val="34"/>
    <w:lvlOverride w:ilvl="0">
      <w:startOverride w:val="1"/>
    </w:lvlOverride>
  </w:num>
  <w:num w:numId="48">
    <w:abstractNumId w:val="30"/>
    <w:lvlOverride w:ilvl="0">
      <w:startOverride w:val="1"/>
    </w:lvlOverride>
  </w:num>
  <w:num w:numId="49">
    <w:abstractNumId w:val="30"/>
    <w:lvlOverride w:ilvl="0">
      <w:startOverride w:val="1"/>
    </w:lvlOverride>
  </w:num>
  <w:num w:numId="50">
    <w:abstractNumId w:val="34"/>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0"/>
    <w:lvlOverride w:ilvl="0">
      <w:startOverride w:val="1"/>
    </w:lvlOverride>
  </w:num>
  <w:num w:numId="54">
    <w:abstractNumId w:val="30"/>
    <w:lvlOverride w:ilvl="0">
      <w:startOverride w:val="1"/>
    </w:lvlOverride>
  </w:num>
  <w:num w:numId="55">
    <w:abstractNumId w:val="34"/>
    <w:lvlOverride w:ilvl="0">
      <w:startOverride w:val="1"/>
    </w:lvlOverride>
  </w:num>
  <w:num w:numId="56">
    <w:abstractNumId w:val="30"/>
    <w:lvlOverride w:ilvl="0">
      <w:startOverride w:val="1"/>
    </w:lvlOverride>
  </w:num>
  <w:num w:numId="57">
    <w:abstractNumId w:val="30"/>
    <w:lvlOverride w:ilvl="0">
      <w:startOverride w:val="1"/>
    </w:lvlOverride>
  </w:num>
  <w:num w:numId="58">
    <w:abstractNumId w:val="34"/>
    <w:lvlOverride w:ilvl="0">
      <w:startOverride w:val="1"/>
    </w:lvlOverride>
  </w:num>
  <w:num w:numId="59">
    <w:abstractNumId w:val="30"/>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4"/>
    <w:lvlOverride w:ilvl="0">
      <w:startOverride w:val="1"/>
    </w:lvlOverride>
  </w:num>
  <w:num w:numId="63">
    <w:abstractNumId w:val="34"/>
    <w:lvlOverride w:ilvl="0">
      <w:startOverride w:val="1"/>
    </w:lvlOverride>
  </w:num>
  <w:num w:numId="64">
    <w:abstractNumId w:val="30"/>
    <w:lvlOverride w:ilvl="0">
      <w:startOverride w:val="1"/>
    </w:lvlOverride>
  </w:num>
  <w:num w:numId="65">
    <w:abstractNumId w:val="34"/>
    <w:lvlOverride w:ilvl="0">
      <w:startOverride w:val="1"/>
    </w:lvlOverride>
  </w:num>
  <w:num w:numId="66">
    <w:abstractNumId w:val="30"/>
    <w:lvlOverride w:ilvl="0">
      <w:startOverride w:val="1"/>
    </w:lvlOverride>
  </w:num>
  <w:num w:numId="67">
    <w:abstractNumId w:val="34"/>
    <w:lvlOverride w:ilvl="0">
      <w:startOverride w:val="1"/>
    </w:lvlOverride>
  </w:num>
  <w:num w:numId="68">
    <w:abstractNumId w:val="30"/>
    <w:lvlOverride w:ilvl="0">
      <w:startOverride w:val="1"/>
    </w:lvlOverride>
  </w:num>
  <w:num w:numId="69">
    <w:abstractNumId w:val="30"/>
    <w:lvlOverride w:ilvl="0">
      <w:startOverride w:val="1"/>
    </w:lvlOverride>
  </w:num>
  <w:num w:numId="70">
    <w:abstractNumId w:val="34"/>
    <w:lvlOverride w:ilvl="0">
      <w:startOverride w:val="1"/>
    </w:lvlOverride>
  </w:num>
  <w:num w:numId="71">
    <w:abstractNumId w:val="30"/>
    <w:lvlOverride w:ilvl="0">
      <w:startOverride w:val="1"/>
    </w:lvlOverride>
  </w:num>
  <w:num w:numId="72">
    <w:abstractNumId w:val="34"/>
    <w:lvlOverride w:ilvl="0">
      <w:startOverride w:val="1"/>
    </w:lvlOverride>
  </w:num>
  <w:num w:numId="73">
    <w:abstractNumId w:val="30"/>
    <w:lvlOverride w:ilvl="0">
      <w:startOverride w:val="1"/>
    </w:lvlOverride>
  </w:num>
  <w:num w:numId="74">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