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transportation revenue and margins and inquire about:</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profitability by customer, customer type, and route/trip type;</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Volume and utilization KPIs (for example: trip counts/load factors), including seasonality effects;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Transportation-specific cut-off timing considerations and non-recurring revenue components.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transportation operating-cost drivers, including:</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Driver/labour costs and benefits;</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Fuel, maintenance, repair, and other fleet operating costs;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Fixed versus variable cost behavior across key expense categories.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transportation-specific working capital considerations, including: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Seasonality effects and cash-management procedures;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Trade-ratio trends and timing effects around receivables/payables;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Normalization of significant non-recurring working capital items.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Inventory</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transportation inventory balances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Composition (for example: fuel, parts, supplies, and finished goods where applicable);</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 and turnover/aging;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Provisioning for obsolete or slow-moving inventory.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transportation capex requirements, including:</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Fleet replacement cycle and related capital intensity;</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Unit utilization and operating impact on replacement timing; and</w:t>
      </w:r>
    </w:p>
    <w:p w14:paraId="45E4FF87" w14:textId="77777777" w:rsidR="003C4524" w:rsidRPr="00FF7051" w:rsidRDefault="003C4524" w:rsidP="00783715">
      <w:pPr>
        <w:pStyle w:val="BodyText"/>
        <w:numPr>
          <w:ilvl w:val="0"/>
          <w:numId w:val="6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Deferred/planned capex and impairment considerations.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659699C4" w14:textId="77777777" w:rsidR="003C4524" w:rsidRPr="00FF7051" w:rsidRDefault="003C4524" w:rsidP="00783715">
      <w:pPr>
        <w:pStyle w:val="BodyText"/>
        <w:numPr>
          <w:ilvl w:val="0"/>
          <w:numId w:val="70"/>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transportation-specific debt and debt-like items, including letters of credit, capital vendor payables, and fleet-related financing obligations.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71"/>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0"/>
    <w:lvlOverride w:ilvl="0">
      <w:startOverride w:val="1"/>
    </w:lvlOverride>
  </w:num>
  <w:num w:numId="67">
    <w:abstractNumId w:val="30"/>
    <w:lvlOverride w:ilvl="0">
      <w:startOverride w:val="1"/>
    </w:lvlOverride>
  </w:num>
  <w:num w:numId="68">
    <w:abstractNumId w:val="34"/>
    <w:lvlOverride w:ilvl="0">
      <w:startOverride w:val="1"/>
    </w:lvlOverride>
  </w:num>
  <w:num w:numId="69">
    <w:abstractNumId w:val="30"/>
    <w:lvlOverride w:ilvl="0">
      <w:startOverride w:val="1"/>
    </w:lvlOverride>
  </w:num>
  <w:num w:numId="70">
    <w:abstractNumId w:val="34"/>
    <w:lvlOverride w:ilvl="0">
      <w:startOverride w:val="1"/>
    </w:lvlOverride>
  </w:num>
  <w:num w:numId="71">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