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the project/contracting model, including service lines, end markets, geographic footprint, and typical contract types.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backlog, bidding pipeline, and key customers/projects, including customer concentration.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subcontractor usage, sourcing/procurement practices, and key suppliers.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revenue and gross margin trends by project type, geography, and major customer.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contract pricing structures (fixed price, time and materials, unit price) and change order practices.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seasonality and weather/field-operations impacts on revenue and margin.</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billing practices, including progress billings, retention, and contract assets/liabilities.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aging, collectability, disputes/claims, and change-order collectability.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concentration and credit risk by customer and project.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work-in-progress (WIP) reporting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Percentage-of-completion methodology and inputs (cost-to-complete, estimated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Under/over billings and their drivers;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Job-level margin fade/gain and change-order tracking;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Backlog composition, burn-off, and conversion assumptions.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subcontractor payables, accrued costs, and cut-off practices.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payroll/union accruals (if applicable), accrued project costs, and cut-off controls for subcontractor and supplier expenses.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Bonding capacity and surety requirements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Warranty obligations, claims, liquidated damages, and performance obligations, including project-specific disputes.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Long-lead materials exposure, escalation clauses, and related purchase commitments.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