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Gain an understanding of lines of business, distribution channels, and geographic footprint.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premium growth drivers, retention, and pricing actions over the Historical Period.</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regulatory environment and reporting requirements applicable to the business.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key accounting policies and estimates related to reserves, premium recognition, and reinsurance.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claim development patterns and reserving governance, including management judgment and assumptions.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fair value measurement and investment accounting policies where applicable.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investment income and portfolio-related earnings drivers, where applicable,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Asset allocation, duration, and credit quality of invested assets;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Realized and unrealized gains and losses and the basis of measurement;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Sensitivity of investment income to interest rate movements.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commission and fee income trends and recognition, including contingent commissions by carrier.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service and other fee income, including cancellation provisions where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Evaluate treatment of interest income, commission splits, and revenue cut-off.</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Underwriting And Loss Reserves</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loss ratios, expense ratios, combined ratio, and key drivers by line of business.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reserve adequacy and development by accident/underwriting year and line of business.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pricing adequacy, underwriting policy changes, and exposure to large losses/catastrophes where applicable.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Claims And Reinsurance</w:t>
      </w:r>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claims handling processes, claim settlement patterns, and operational KPIs where available.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reinsurance program structure, retention levels, counterparty exposure, and recoverables.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concentrations in ceded exposure and any disputes or collectability issues with reinsurers.</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19"/>
    <w:lvlOverride w:ilvl="0">
      <w:startOverride w:val="1"/>
    </w:lvlOverride>
  </w:num>
  <w:num w:numId="49">
    <w:abstractNumId w:val="21"/>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21"/>
    <w:lvlOverride w:ilvl="0">
      <w:startOverride w:val="1"/>
    </w:lvlOverride>
  </w:num>
  <w:num w:numId="54">
    <w:abstractNumId w:val="19"/>
    <w:lvlOverride w:ilvl="0">
      <w:startOverride w:val="1"/>
    </w:lvlOverride>
  </w:num>
  <w:num w:numId="55">
    <w:abstractNumId w:val="21"/>
    <w:lvlOverride w:ilvl="0">
      <w:startOverride w:val="1"/>
    </w:lvlOverride>
  </w:num>
  <w:num w:numId="56">
    <w:abstractNumId w:val="19"/>
    <w:lvlOverride w:ilvl="0">
      <w:startOverride w:val="1"/>
    </w:lvlOverride>
  </w:num>
  <w:num w:numId="57">
    <w:abstractNumId w:val="21"/>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19"/>
    <w:lvlOverride w:ilvl="0">
      <w:startOverride w:val="1"/>
    </w:lvlOverride>
  </w:num>
  <w:num w:numId="63">
    <w:abstractNumId w:val="21"/>
    <w:lvlOverride w:ilvl="0">
      <w:startOverride w:val="1"/>
    </w:lvlOverride>
  </w:num>
  <w:num w:numId="64">
    <w:abstractNumId w:val="19"/>
    <w:lvlOverride w:ilvl="0">
      <w:startOverride w:val="1"/>
    </w:lvlOverride>
  </w:num>
  <w:num w:numId="65">
    <w:abstractNumId w:val="21"/>
    <w:lvlOverride w:ilvl="0">
      <w:startOverride w:val="1"/>
    </w:lvlOverride>
  </w:num>
  <w:num w:numId="66">
    <w:abstractNumId w:val="21"/>
    <w:lvlOverride w:ilvl="0">
      <w:startOverride w:val="1"/>
    </w:lvlOverride>
  </w:num>
  <w:num w:numId="67">
    <w:abstractNumId w:val="21"/>
    <w:lvlOverride w:ilvl="0">
      <w:startOverride w:val="1"/>
    </w:lvlOverride>
  </w:num>
  <w:num w:numId="68">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