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product lines, programs, customers (OEM/tier relationships), and regulatory/quality requirements.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backlog, program life cycles, and ramp/production cadence.</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manufacturing footprint, capacity constraints, and supply chain dependencies.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revenue and gross margin trends by program, customer, and product line.</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contract structures (long-term agreements, pricing escalators, penalties/claims) and revenue recognition approach.</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customer concentration, order volatility, and backlog conversion assumptions.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inventory/WIP and inquire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Long-cycle inventory, work-in-process, and slow-moving/obsolete inventory;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Material price variance, scrap/rework, and yield;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lead times and risk of shortages;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valuation and reserves.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capex requirements for tooling, equipment, and capacity expansion.</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maintenance capex versus growth capex and related replacement cycles.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capitalized development/tooling costs (if applicable) and impairment considerations.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4"/>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