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key products and customer segments (deposit, lending, payments, wealth,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balance sheet composition, funding sources, and interest rate sensitivity drivers.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regulatory environment and reporting requirements applicable to the business.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incremental banking-specific accounting policies and practices, including:</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Fair value measurement policies for financial instruments and related valuation considerations;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credit loss provisioning methodology and key judgments;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for net interest margin (including effective interest treatment);</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placement/origination fees and capitalized commissions (including amortization approach);</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funding/transfer pricing allocation practices (if applicable);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Accounting treatment for securitization assets/liabilities and related derecognition considerations (if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operating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costs: headcount and staff compensation (salary, payroll tax, bonus, pensions, other benefits, key contractual terms), applicable personnel metrics, and any capitalization of such costs;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Stock options: impact of stock options and other non-cash incentive tools;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Commissions, finders' fees, securitization transaction costs, and related items;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Infrastructure and other technology direct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and development expenses and related capitalization;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Marketing and business development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Shared services cost allocations and description of services rendered, including allocation of costs within internal line-of-business management reporting, if applicable;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General and administrative costs, including allocation of costs within internal line-of-business management reporting;</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Fixed versus variable costs;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Balance Sheet</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historical balance sheet items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Mortgages, including mortgages under securitization and mortgages held for sale;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Securities;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Restricted assets;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Derivative assets;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Securitization assets and liabilities;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Deposits by category;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Debt and debt-like items,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Attribution of debt between funding for operations versus corporate debt;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Off-balance sheet items;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collateralization obligations;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Repurchase agreement obligations.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Working capital profile including receivables, payables, and accruals;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Commitments and contingencies.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income streams by type, including: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Net interest income and margin - trends therein / evolution thereof, including: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Interest rate profile (fixed vs variable; differences by term / duration);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 features (variable/floating and fixed);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maturity profile (including extensions of amortization periods and impact on yields);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funding.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Non-interest income and non-interest margin - trends therein, key drivers, and one-time / non-cash items.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income (including fee income and commissions) - trends therein and noted one-time / non-cash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Loan Portfolio And Credit Quality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analyze loan portfolio composition by product, geography, industry, and risk rating.</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delinquency, non-performing assets, charge-offs, recoveries, and vintage/loss trends.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concentrations (single-name, sector, geographic) and underwriting/credit policy changes over the Historical Period.</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Allowance For Credit Losses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allowance methodology, inputs, and model governance (if applicable).</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qualitative overlays, management adjustments, and sensitivity to macro assumptions.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Reconcile allowance movements over time and assess coverage ratios versus peer/portfolio risk.</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Regulatory Capital And Liquidity</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regulatory capital metrics and drivers (risk-weighted assets, capital buffers) where applicable.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liquidity profile and stress testing framework where applicable.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the impact of off-balance sheet exposures and commitments on capital/liquidity.</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4"/>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4"/>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