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HealthCo Medical Clinics Inc.</w:t>
      </w:r>
      <w:r w:rsidR="009A118E">
        <w:rPr>
          <w:rFonts w:asciiTheme="minorHAnsi" w:hAnsiTheme="minorHAnsi" w:cstheme="minorHAnsi"/>
          <w:sz w:val="20"/>
        </w:rPr>
        <w:t xml:space="preserve"> </w:t>
      </w:r>
      <w:r w:rsidR="00076631">
        <w:rPr>
          <w:rFonts w:asciiTheme="minorHAnsi" w:hAnsiTheme="minorHAnsi" w:cstheme="minorHAnsi"/>
          <w:sz w:val="20"/>
        </w:rPr>
        <w:t>("Target")</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potential divestment of Target</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Atlas</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Client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Client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Client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KPMG-branded</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Atlas.</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Client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Client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Atlas</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 and/or 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Client's</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 and 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Atlas and to address issues as they arise. The individual must have the skills, experience, and knowledge of Client's business necessary to effectively perform this function. We understand that John Smith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Atlas</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Atlas</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January 20, 2026</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February 15, 2026</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Jane Doe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Michael Williams</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We are pleased to offer a 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$150,000 to $200,000</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$15,000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$75,000 + 10% technology and support charge + applicable sales taxes</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$75,000 + 10% technology and support charge + 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w:t>
      </w:r>
      <w:r w:rsidR="00076631">
        <w:rPr>
          <w:rFonts w:asciiTheme="minorHAnsi" w:hAnsiTheme="minorHAnsi" w:cstheme="minorHAnsi"/>
          <w:sz w:val="20"/>
        </w:rPr>
        <w:t>BuyerCo Partners LLC</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 and 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Cash Flow Funds From Operations</w:t>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Analyze the Company’s historical operating cash flow / FFO trends incorporating the impact of adjusted NOI trends from the quality of earnings analysis, the Company’s net working capital profile, and capital expenditures trends.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real-estate-specific accounting considerations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Lease-related accounting policies (for example: straight-line rent, incentives/abatements, and common-area maintenance recoveries);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Tenant receivable provisioning and write-off policies specific to rent/recoveries;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Investment property and joint-venture accounting/valuation approach, where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potential adjustments to historical net operating income (NOI) on a consolidated basis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Management's proposed adjustments to reported NOI and supporting rationale;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Elimination of public company costs, where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Potential impact of new, lost, acquired, developed, or sold properties and expiring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Analyze rental revenue drivers using the rent roll and supporting detail,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Occupancy, lease maturity schedule, and renewal/termination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Base rent versus recovery income (for example: CAM, taxes, insurance, and utilities) and reconciliation to billings, where available;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Concessions, abatements, and free-rent impacts on reported revenue.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Company's operating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Primary components of property operating costs, including property tax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Rent bad debt expense trends;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property-level cost drivers unique to the ownership/management model, where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Balance Sheet</w:t>
      </w:r>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understand Target's real-estate-specific balance sheet profile,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Rent receivable profile (including aging/provisions) and other non-trade receivable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Tenant rental deposits and related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Nature of investment properties and joint ventures;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Any unusual real-estate-specific balance sheet items identified during due diligence.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property-specific contingent exposures and obligations,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Property tax reassessments, appeals, and related reserves;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Environmental compliance and remediation obligations, where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John Smith</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Atlas</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David Wilson</w:t>
      </w:r>
    </w:p>
    <w:p w14:paraId="640BC790" w14:textId="22C29F49" w:rsidR="00D62D05" w:rsidRPr="00727A4C" w:rsidRDefault="00076631" w:rsidP="00D62D05">
      <w:pPr>
        <w:spacing w:line="260" w:lineRule="atLeast"/>
        <w:ind w:right="360"/>
        <w:jc w:val="both"/>
        <w:rPr>
          <w:rFonts w:cs="Arial"/>
          <w:sz w:val="20"/>
        </w:rPr>
      </w:pPr>
      <w:r>
        <w:rPr>
          <w:rFonts w:cs="Arial"/>
          <w:sz w:val="20"/>
        </w:rPr>
        <w:t>Buyer Co. Advisors LLP</w:t>
      </w:r>
    </w:p>
    <w:p w14:paraId="32F3BF72" w14:textId="12915AC4" w:rsidR="00D62D05" w:rsidRPr="00727A4C" w:rsidRDefault="00076631" w:rsidP="00D62D05">
      <w:pPr>
        <w:spacing w:line="260" w:lineRule="atLeast"/>
        <w:ind w:right="360"/>
        <w:jc w:val="both"/>
        <w:rPr>
          <w:rFonts w:cs="Arial"/>
          <w:sz w:val="20"/>
        </w:rPr>
      </w:pPr>
      <w:r>
        <w:rPr>
          <w:rFonts w:cs="Arial"/>
          <w:sz w:val="20"/>
        </w:rPr>
        <w:t>123 Bay Street, Suite 4000</w:t>
      </w:r>
    </w:p>
    <w:p w14:paraId="4C0453FA" w14:textId="424B31C5" w:rsidR="00D62D05" w:rsidRPr="00727A4C" w:rsidRDefault="00076631" w:rsidP="00D62D05">
      <w:pPr>
        <w:spacing w:line="260" w:lineRule="atLeast"/>
        <w:ind w:right="360"/>
        <w:jc w:val="both"/>
        <w:rPr>
          <w:rFonts w:cs="Arial"/>
          <w:sz w:val="20"/>
        </w:rPr>
      </w:pPr>
      <w:r>
        <w:rPr>
          <w:rFonts w:cs="Arial"/>
          <w:sz w:val="20"/>
        </w:rPr>
        <w:t>Toronto, Ontario M5J 2T3</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February 1, 2026</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Atlas</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Buyer Co. Advisors LLP</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February 1, 2026</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123 Bay Street, Suite 4000, Toronto, ON</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Jane Doe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Client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Client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All material contracts have been disclosed to KPMG;</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Atlas</w:t>
    </w:r>
  </w:p>
  <w:p w14:paraId="425D002E" w14:textId="7CFE8FA3" w:rsidR="00106DAC" w:rsidRDefault="00076631"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21"/>
    <w:lvlOverride w:ilvl="0">
      <w:startOverride w:val="1"/>
    </w:lvlOverride>
  </w:num>
  <w:num w:numId="44">
    <w:abstractNumId w:val="21"/>
    <w:lvlOverride w:ilvl="0">
      <w:startOverride w:val="1"/>
    </w:lvlOverride>
  </w:num>
  <w:num w:numId="45">
    <w:abstractNumId w:val="19"/>
    <w:lvlOverride w:ilvl="0">
      <w:startOverride w:val="1"/>
    </w:lvlOverride>
  </w:num>
  <w:num w:numId="46">
    <w:abstractNumId w:val="19"/>
    <w:lvlOverride w:ilvl="0">
      <w:startOverride w:val="1"/>
    </w:lvlOverride>
  </w:num>
  <w:num w:numId="47">
    <w:abstractNumId w:val="19"/>
    <w:lvlOverride w:ilvl="0">
      <w:startOverride w:val="1"/>
    </w:lvlOverride>
  </w:num>
  <w:num w:numId="48">
    <w:abstractNumId w:val="21"/>
    <w:lvlOverride w:ilvl="0">
      <w:startOverride w:val="1"/>
    </w:lvlOverride>
  </w:num>
  <w:num w:numId="49">
    <w:abstractNumId w:val="19"/>
    <w:lvlOverride w:ilvl="0">
      <w:startOverride w:val="1"/>
    </w:lvlOverride>
  </w:num>
  <w:num w:numId="50">
    <w:abstractNumId w:val="19"/>
    <w:lvlOverride w:ilvl="0">
      <w:startOverride w:val="1"/>
    </w:lvlOverride>
  </w:num>
  <w:num w:numId="51">
    <w:abstractNumId w:val="21"/>
    <w:lvlOverride w:ilvl="0">
      <w:startOverride w:val="1"/>
    </w:lvlOverride>
  </w:num>
  <w:num w:numId="52">
    <w:abstractNumId w:val="19"/>
    <w:lvlOverride w:ilvl="0">
      <w:startOverride w:val="1"/>
    </w:lvlOverride>
  </w:num>
  <w:num w:numId="53">
    <w:abstractNumId w:val="19"/>
    <w:lvlOverride w:ilvl="0">
      <w:startOverride w:val="1"/>
    </w:lvlOverride>
  </w:num>
  <w:num w:numId="54">
    <w:abstractNumId w:val="19"/>
    <w:lvlOverride w:ilvl="0">
      <w:startOverride w:val="1"/>
    </w:lvlOverride>
  </w:num>
  <w:num w:numId="55">
    <w:abstractNumId w:val="19"/>
    <w:lvlOverride w:ilvl="0">
      <w:startOverride w:val="1"/>
    </w:lvlOverride>
  </w:num>
  <w:num w:numId="56">
    <w:abstractNumId w:val="21"/>
    <w:lvlOverride w:ilvl="0">
      <w:startOverride w:val="1"/>
    </w:lvlOverride>
  </w:num>
  <w:num w:numId="57">
    <w:abstractNumId w:val="19"/>
    <w:lvlOverride w:ilvl="0">
      <w:startOverride w:val="1"/>
    </w:lvlOverride>
  </w:num>
  <w:num w:numId="58">
    <w:abstractNumId w:val="19"/>
    <w:lvlOverride w:ilvl="0">
      <w:startOverride w:val="1"/>
    </w:lvlOverride>
  </w:num>
  <w:num w:numId="59">
    <w:abstractNumId w:val="21"/>
    <w:lvlOverride w:ilvl="0">
      <w:startOverride w:val="1"/>
    </w:lvlOverride>
  </w:num>
  <w:num w:numId="60">
    <w:abstractNumId w:val="19"/>
    <w:lvlOverride w:ilvl="0">
      <w:startOverride w:val="1"/>
    </w:lvlOverride>
  </w:num>
  <w:num w:numId="61">
    <w:abstractNumId w:val="21"/>
    <w:lvlOverride w:ilvl="0">
      <w:startOverride w:val="1"/>
    </w:lvlOverride>
  </w:num>
  <w:num w:numId="62">
    <w:abstractNumId w:val="19"/>
    <w:lvlOverride w:ilvl="0">
      <w:startOverride w:val="1"/>
    </w:lvlOverride>
  </w:num>
  <w:num w:numId="63">
    <w:abstractNumId w:val="21"/>
    <w:lvlOverride w:ilvl="0">
      <w:startOverride w:val="1"/>
    </w:lvlOverride>
  </w:num>
  <w:num w:numId="64">
    <w:abstractNumId w:val="19"/>
    <w:lvlOverride w:ilvl="0">
      <w:startOverride w:val="1"/>
    </w:lvlOverride>
  </w:num>
  <w:num w:numId="65">
    <w:abstractNumId w:val="21"/>
    <w:lvlOverride w:ilvl="0">
      <w:startOverride w:val="1"/>
    </w:lvlOverride>
  </w:num>
  <w:num w:numId="66">
    <w:abstractNumId w:val="19"/>
    <w:lvlOverride w:ilvl="0">
      <w:startOverride w:val="1"/>
    </w:lvlOverride>
  </w:num>
  <w:num w:numId="67">
    <w:abstractNumId w:val="21"/>
    <w:lvlOverride w:ilvl="0">
      <w:startOverride w:val="1"/>
    </w:lvlOverride>
  </w:num>
  <w:num w:numId="68">
    <w:abstractNumId w:val="19"/>
    <w:lvlOverride w:ilvl="0">
      <w:startOverride w:val="1"/>
    </w:lvlOverride>
  </w:num>
  <w:num w:numId="69">
    <w:abstractNumId w:val="21"/>
    <w:lvlOverride w:ilvl="0">
      <w:startOverride w:val="1"/>
    </w:lvlOverride>
  </w:num>
  <w:num w:numId="70">
    <w:abstractNumId w:val="19"/>
    <w:lvlOverride w:ilvl="0">
      <w:startOverride w:val="1"/>
    </w:lvlOverride>
  </w:num>
  <w:num w:numId="71">
    <w:abstractNumId w:val="19"/>
    <w:lvlOverride w:ilvl="0">
      <w:startOverride w:val="1"/>
    </w:lvlOverride>
  </w:num>
  <w:num w:numId="72">
    <w:abstractNumId w:val="21"/>
    <w:lvlOverride w:ilvl="0">
      <w:startOverride w:val="1"/>
    </w:lvlOverride>
  </w:num>
  <w:num w:numId="73">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