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service-model earnings impacts not fully captured in common quality-of-earnings procedures, including: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new/lost customer relationships and service-offering changes;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Capacity and utilization effects from headcount vacancies or ramp-up/ramp-down.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recurring-revenue quality metrics, including: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Annual recurring revenue composition;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Retention and churn trends;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Customer relationship tenure patterns.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service-model operating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components and trends of cost of revenue specific to service delivery (for example: software, data center, merchant service, and platform fees);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of employee expenses, software/development costs, and commissions;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and development cost profile and accounting treatment.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 Expenses And Other Assets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Company's prepaid and other assets and comment on unusual items, significant fluctuations, and balances potentially excluded from working capital.</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deferred revenue / unearned revenue balances and recognition unwind profile.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capitalized labour/software/commission trends and related amortization profile.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4"/>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4"/>
    <w:lvlOverride w:ilvl="0">
      <w:startOverride w:val="1"/>
    </w:lvlOverride>
  </w:num>
  <w:num w:numId="69">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