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background information of Target,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Organizational structure, ownership and management reporting relationships;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Product / service offerings;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Range of customer segments and regions served;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Financial reporting and information systems (including process,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Reconciliation of management internal reporting packages to audited financial statements, where available.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Revenue recognition for service and project contracts (including period-end true-ups) and related billing practices.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Intercompany transactions and cost allocation practices specific to branch/network operations.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HVAC-specific EBITDA normalization considerations,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Pricing pass-through timing and gross-margin lag effects from labour and commodity cost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Cash-to-accrual timing differences and period-end true-ups affecting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Branch openings, closures, or acquisitions and related run-rate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Warranty, claim, and reserve movements that may affect normalized earnings;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non-recurring operational events identified during diligence.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Revenue and margin trends by service offering (for example: service, installation/project, and maintenance contract streams).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Revenue and margin trends by customer end-market and geography.</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Backlog and committed pipeline analysis, including conversion timing and cancellation risk.</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Contract renewal/retention profile and effectiveness of cross-sell activity, where measurable.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Direct cost drivers for field operations (for example: labour mix, subcontractor usage, materials, vehicles, and tools/equipment).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Branch-level occupancy, utilities, and other location operating costs.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Compensation structure and productivity metrics by role, including incentive compensation design.</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Insurance and warranty-related cost trends and reserve adequacy considerations.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the company's historical monthly working capital patterns and consider an appropriate “target working capital” peg for purposes of a purchase price adjustment mechanism; and assess the level of working capital required to support future growth.</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the composition of individual working capital accounts and monthly working capital trends including working capital days metrics (i.e. DSO and DPO).</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potential adjustments for large non-recurring, unusual or non-operating items that may have affected normal working capital trends, (such as accruals for bonuses, non-trade balances, etc.)</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normalize historical working capital in the business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Commenting on the working capital trends, for the respective period;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key drivers (i.e., seasonality, accounts payable days, days sales outstanding, inventory days);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Identifying large or unusual non-recurring items that may have impacted normal working capital trends including potential items identified within the quality of earnings analysis noted above.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Inventory</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inventory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Aging analysis by component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Inventory provision roll forward including methodology and calculation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Prepaids And Other Current Assets</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prepaids and other current assets including composition</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summary of and comment on unusual items, significant fluctuations, and significant balances.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Aging and concentration analysis by major customer, including contract-related billing terms.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Reserve roll-forward, write-off trends, credit balances, and other collection adjustments.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Accounts payable aging, major-vendor settlement terms, and days payable outstanding trends.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Accrued liabilities profile (including payroll/PTO, bonus/commission cadence, and deferred revenue timing considerations).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Other current liability balances and unusual movements affecting working capital comparability.</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existing capital costs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Impairment write-downs and issues.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Long-term debt, Finance lease obligations, and other long-term liabilities;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Deferred revenue / Contingent considerations / earnouts on acquisitions / warranty &amp; insurance reserves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Post-retirement obligations or incentive compensation;</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Other significant and/or unusual liabilities including off-balance sheet liabilities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Pending or threatened litigations by regulatory or other authorities and by employees;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Significant lease and purchase obligations; and</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other off-balance sheet transactions.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Related Parties</w:t>
      </w:r>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the nature and extent of related party transactions and basis for pricing arrangements.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19"/>
    <w:lvlOverride w:ilvl="0">
      <w:startOverride w:val="1"/>
    </w:lvlOverride>
  </w:num>
  <w:num w:numId="44">
    <w:abstractNumId w:val="21"/>
    <w:lvlOverride w:ilvl="0">
      <w:startOverride w:val="1"/>
    </w:lvlOverride>
  </w:num>
  <w:num w:numId="45">
    <w:abstractNumId w:val="19"/>
    <w:lvlOverride w:ilvl="0">
      <w:startOverride w:val="1"/>
    </w:lvlOverride>
  </w:num>
  <w:num w:numId="46">
    <w:abstractNumId w:val="19"/>
    <w:lvlOverride w:ilvl="0">
      <w:startOverride w:val="1"/>
    </w:lvlOverride>
  </w:num>
  <w:num w:numId="47">
    <w:abstractNumId w:val="21"/>
    <w:lvlOverride w:ilvl="0">
      <w:startOverride w:val="1"/>
    </w:lvlOverride>
  </w:num>
  <w:num w:numId="48">
    <w:abstractNumId w:val="19"/>
    <w:lvlOverride w:ilvl="0">
      <w:startOverride w:val="1"/>
    </w:lvlOverride>
  </w:num>
  <w:num w:numId="49">
    <w:abstractNumId w:val="19"/>
    <w:lvlOverride w:ilvl="0">
      <w:startOverride w:val="1"/>
    </w:lvlOverride>
  </w:num>
  <w:num w:numId="50">
    <w:abstractNumId w:val="21"/>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19"/>
    <w:lvlOverride w:ilvl="0">
      <w:startOverride w:val="1"/>
    </w:lvlOverride>
  </w:num>
  <w:num w:numId="54">
    <w:abstractNumId w:val="21"/>
    <w:lvlOverride w:ilvl="0">
      <w:startOverride w:val="1"/>
    </w:lvlOverride>
  </w:num>
  <w:num w:numId="55">
    <w:abstractNumId w:val="19"/>
    <w:lvlOverride w:ilvl="0">
      <w:startOverride w:val="1"/>
    </w:lvlOverride>
  </w:num>
  <w:num w:numId="56">
    <w:abstractNumId w:val="21"/>
    <w:lvlOverride w:ilvl="0">
      <w:startOverride w:val="1"/>
    </w:lvlOverride>
  </w:num>
  <w:num w:numId="57">
    <w:abstractNumId w:val="19"/>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21"/>
    <w:lvlOverride w:ilvl="0">
      <w:startOverride w:val="1"/>
    </w:lvlOverride>
  </w:num>
  <w:num w:numId="63">
    <w:abstractNumId w:val="19"/>
    <w:lvlOverride w:ilvl="0">
      <w:startOverride w:val="1"/>
    </w:lvlOverride>
  </w:num>
  <w:num w:numId="64">
    <w:abstractNumId w:val="21"/>
    <w:lvlOverride w:ilvl="0">
      <w:startOverride w:val="1"/>
    </w:lvlOverride>
  </w:num>
  <w:num w:numId="65">
    <w:abstractNumId w:val="19"/>
    <w:lvlOverride w:ilvl="0">
      <w:startOverride w:val="1"/>
    </w:lvlOverride>
  </w:num>
  <w:num w:numId="66">
    <w:abstractNumId w:val="21"/>
    <w:lvlOverride w:ilvl="0">
      <w:startOverride w:val="1"/>
    </w:lvlOverride>
  </w:num>
  <w:num w:numId="67">
    <w:abstractNumId w:val="19"/>
    <w:lvlOverride w:ilvl="0">
      <w:startOverride w:val="1"/>
    </w:lvlOverride>
  </w:num>
  <w:num w:numId="68">
    <w:abstractNumId w:val="19"/>
    <w:lvlOverride w:ilvl="0">
      <w:startOverride w:val="1"/>
    </w:lvlOverride>
  </w:num>
  <w:num w:numId="69">
    <w:abstractNumId w:val="21"/>
    <w:lvlOverride w:ilvl="0">
      <w:startOverride w:val="1"/>
    </w:lvlOverride>
  </w:num>
  <w:num w:numId="70">
    <w:abstractNumId w:val="19"/>
    <w:lvlOverride w:ilvl="0">
      <w:startOverride w:val="1"/>
    </w:lvlOverride>
  </w:num>
  <w:num w:numId="71">
    <w:abstractNumId w:val="21"/>
    <w:lvlOverride w:ilvl="0">
      <w:startOverride w:val="1"/>
    </w:lvlOverride>
  </w:num>
  <w:num w:numId="72">
    <w:abstractNumId w:val="21"/>
    <w:lvlOverride w:ilvl="0">
      <w:startOverride w:val="1"/>
    </w:lvlOverride>
  </w:num>
  <w:num w:numId="73">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