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available information and meet with Target's officers in order to develop an understanding of Target,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 and management reporting relationships;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including percentage-of-completion (POC) revenue;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 including financial reporting, cost allocation methodologies, and consistency in accounting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Subject to information availability, propose potential adjustments to historical earnings before interest, taxes, depreciation, and amortization (EBITDA)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Sustainability of margins (including the impact of changes in POC estimates on the Target's earnings);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Changes in Members'/Partners' remuneration;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cash flows not captured within EBITDA (for example: capitalized software costs and capitalized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Contract-level profitability estimate revisions and true-ups (for example: changes in estimates to complete under POC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revenue, direct expenses, and margins,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Gross-to-net revenue bridge, including payments to consultants and subcontractors;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margins by key customer and project;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POC and typical gross-profit recognition patterns (for example: allocation of profits between project phases);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Key performance indicators (for example: proposal win rates, personnel availability/utilization rates, and billing rates);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Backlog, including timing of realization;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Pipeline/opportunities, including win probabilities.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operating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Headcount and personnel costs, including salaries, benefits, commissions, and incentive plans;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Lease costs, including lease contracts close to expiry and related renewal/relocation plans.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working capital trends/seasonality for the most recent trailing-twelve-month period and prior two to three fiscal years (based on information availability).</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sensitivities for cash flow management and normalize for items that may impact normal working capital trends.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the impact of potential non-recurring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Evaluate billing and collection dynamics specific to time-and-materials and fixed-fee engagements,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Unbilled receivables and cycle time from time entry to invoicing;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Retainers and client deposits recorded as deferred revenue or other liabilities;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Disputed billings and write-off trends by service line.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 In Progress</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summary of work in progress (amounts recoverable on contracts) by project/customer and comment on unusual items, fluctuations, and significant balances.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Other Current Assets Liabilities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the nature of other current assets and liabilities, and the valuation principles applied thereto.</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and accrued liabilities, inquiring about accounts payable aging/days outstanding and accrued-liability profiles. Analyze the expected unwind of deferred income.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property, plant, and equipment capital expenditures and inquire about historical, deferred, and planned capital expenditures,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capex;</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capex;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Impairment write-downs and other potential issues.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reported net debt items and other potential debt-like items within the transaction perimeter,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Lease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Corporate taxes payable;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Pension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Derivative financial instruments,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Non-operating accruals;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Commitments, contingencies, and other material off-balance-sheet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19"/>
    <w:lvlOverride w:ilvl="0">
      <w:startOverride w:val="1"/>
    </w:lvlOverride>
  </w:num>
  <w:num w:numId="44">
    <w:abstractNumId w:val="21"/>
    <w:lvlOverride w:ilvl="0">
      <w:startOverride w:val="1"/>
    </w:lvlOverride>
  </w:num>
  <w:num w:numId="45">
    <w:abstractNumId w:val="19"/>
    <w:lvlOverride w:ilvl="0">
      <w:startOverride w:val="1"/>
    </w:lvlOverride>
  </w:num>
  <w:num w:numId="46">
    <w:abstractNumId w:val="19"/>
    <w:lvlOverride w:ilvl="0">
      <w:startOverride w:val="1"/>
    </w:lvlOverride>
  </w:num>
  <w:num w:numId="47">
    <w:abstractNumId w:val="21"/>
    <w:lvlOverride w:ilvl="0">
      <w:startOverride w:val="1"/>
    </w:lvlOverride>
  </w:num>
  <w:num w:numId="48">
    <w:abstractNumId w:val="19"/>
    <w:lvlOverride w:ilvl="0">
      <w:startOverride w:val="1"/>
    </w:lvlOverride>
  </w:num>
  <w:num w:numId="49">
    <w:abstractNumId w:val="19"/>
    <w:lvlOverride w:ilvl="0">
      <w:startOverride w:val="1"/>
    </w:lvlOverride>
  </w:num>
  <w:num w:numId="50">
    <w:abstractNumId w:val="21"/>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19"/>
    <w:lvlOverride w:ilvl="0">
      <w:startOverride w:val="1"/>
    </w:lvlOverride>
  </w:num>
  <w:num w:numId="54">
    <w:abstractNumId w:val="19"/>
    <w:lvlOverride w:ilvl="0">
      <w:startOverride w:val="1"/>
    </w:lvlOverride>
  </w:num>
  <w:num w:numId="55">
    <w:abstractNumId w:val="21"/>
    <w:lvlOverride w:ilvl="0">
      <w:startOverride w:val="1"/>
    </w:lvlOverride>
  </w:num>
  <w:num w:numId="56">
    <w:abstractNumId w:val="19"/>
    <w:lvlOverride w:ilvl="0">
      <w:startOverride w:val="1"/>
    </w:lvlOverride>
  </w:num>
  <w:num w:numId="57">
    <w:abstractNumId w:val="19"/>
    <w:lvlOverride w:ilvl="0">
      <w:startOverride w:val="1"/>
    </w:lvlOverride>
  </w:num>
  <w:num w:numId="58">
    <w:abstractNumId w:val="21"/>
    <w:lvlOverride w:ilvl="0">
      <w:startOverride w:val="1"/>
    </w:lvlOverride>
  </w:num>
  <w:num w:numId="59">
    <w:abstractNumId w:val="19"/>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21"/>
    <w:lvlOverride w:ilvl="0">
      <w:startOverride w:val="1"/>
    </w:lvlOverride>
  </w:num>
  <w:num w:numId="63">
    <w:abstractNumId w:val="21"/>
    <w:lvlOverride w:ilvl="0">
      <w:startOverride w:val="1"/>
    </w:lvlOverride>
  </w:num>
  <w:num w:numId="64">
    <w:abstractNumId w:val="19"/>
    <w:lvlOverride w:ilvl="0">
      <w:startOverride w:val="1"/>
    </w:lvlOverride>
  </w:num>
  <w:num w:numId="65">
    <w:abstractNumId w:val="21"/>
    <w:lvlOverride w:ilvl="0">
      <w:startOverride w:val="1"/>
    </w:lvlOverride>
  </w:num>
  <w:num w:numId="66">
    <w:abstractNumId w:val="19"/>
    <w:lvlOverride w:ilvl="0">
      <w:startOverride w:val="1"/>
    </w:lvlOverride>
  </w:num>
  <w:num w:numId="67">
    <w:abstractNumId w:val="21"/>
    <w:lvlOverride w:ilvl="0">
      <w:startOverride w:val="1"/>
    </w:lvlOverride>
  </w:num>
  <w:num w:numId="68">
    <w:abstractNumId w:val="19"/>
    <w:lvlOverride w:ilvl="0">
      <w:startOverride w:val="1"/>
    </w:lvlOverride>
  </w:num>
  <w:num w:numId="69">
    <w:abstractNumId w:val="19"/>
    <w:lvlOverride w:ilvl="0">
      <w:startOverride w:val="1"/>
    </w:lvlOverride>
  </w:num>
  <w:num w:numId="70">
    <w:abstractNumId w:val="21"/>
    <w:lvlOverride w:ilvl="0">
      <w:startOverride w:val="1"/>
    </w:lvlOverride>
  </w:num>
  <w:num w:numId="71">
    <w:abstractNumId w:val="19"/>
    <w:lvlOverride w:ilvl="0">
      <w:startOverride w:val="1"/>
    </w:lvlOverride>
  </w:num>
  <w:num w:numId="72">
    <w:abstractNumId w:val="21"/>
    <w:lvlOverride w:ilvl="0">
      <w:startOverride w:val="1"/>
    </w:lvlOverride>
  </w:num>
  <w:num w:numId="73">
    <w:abstractNumId w:val="19"/>
    <w:lvlOverride w:ilvl="0">
      <w:startOverride w:val="1"/>
    </w:lvlOverride>
  </w:num>
  <w:num w:numId="74">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