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service-model earnings impacts not fully captured in common quality-of-earnings procedures,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new/lost customer relationships and service-offering changes;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Capacity and utilization effects from headcount vacancies or ramp-up/ramp-down.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recurring-revenue quality metrics,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Annual recurring revenue composition;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Retention and churn trends;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Customer relationship tenure patterns.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service-model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components and trends of cost of revenue specific to service delivery (for example: software, data center, merchant service, and platform fees);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of employee expenses, software/development costs, and commissions;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and development cost profile and accounting treatment.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 Expenses And Other Assets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Company's prepaid and other assets and comment on unusual items, significant fluctuations, and balances potentially excluded from working capital.</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deferred revenue / unearned revenue balances and recognition unwind profile.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capitalized labour/software/commission trends and related amortization profile.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19"/>
    <w:lvlOverride w:ilvl="0">
      <w:startOverride w:val="1"/>
    </w:lvlOverride>
  </w:num>
  <w:num w:numId="49">
    <w:abstractNumId w:val="21"/>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21"/>
    <w:lvlOverride w:ilvl="0">
      <w:startOverride w:val="1"/>
    </w:lvlOverride>
  </w:num>
  <w:num w:numId="69">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