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supermarket-specific EBITDA quality considerations,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Vendor allowances, rebates, and promotional funding and the timing of recognition relative to underlying purchase volume;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Shrink, spoilage, and inventory write-down policies and historical trends;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Fuel, pharmacy, and other ancillary margin volatility drivers,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Bridge revenue and gross margin by major category and store/channel,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Same-store sales drivers (traffic and basket size) versus new store openings/closures;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versus volume mix and promotional intensity;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Private-label versus branded mix and related margin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supermarket operating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Store labour and support-function cost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Information-systems and corporate overhead cost allocations, where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Occupancy costs (including rent and lease-related cost drivers).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supermarket-specific working capital drivers by retail, wholesale, and corporate streams (to the extent separable),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Segment-level working capital composition and trade-ratio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reserves, sales returns/allowances, and other judgmental accruals;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Seasonality implications for cash flow and working capital peg setting.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supermarket capex profile and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Growth versus maintenance capex for stores, renovations, eCommerce, IT/cybersecurity, distribution centers, and production units;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Committed capex and near-term spending versus budget;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and planned capital expenditure cadence.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19"/>
    <w:lvlOverride w:ilvl="0">
      <w:startOverride w:val="1"/>
    </w:lvlOverride>
  </w:num>
  <w:num w:numId="49">
    <w:abstractNumId w:val="21"/>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19"/>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