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Gain an understanding of the technology business model and operating footprint,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Product and service portfolio with delivery/revenue model (for example: subscription, managed services, and project-based offerings);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Customer concentration and key end-market exposure;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Dependencies on Parent/shared services, intercompany arrangements, and stand-alone separation points, where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Understand incremental technology accounting considerations,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Recurring revenue, deferred revenue, and contract modification practices;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Capitalization/amortization of development costs and sales commissions;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Stand-alone versus allocated/shared Parent cost treatment, where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technology-specific earnings quality considerations not fully captured in common quality-of-earnings procedures,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EBITDA-to-cash conversion in recurring-revenue models;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ARR/churn and booked-not-billed dynamics affecting run-rate earnings;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Impact of product/development investment and capitalized labour on comparability.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recurring-revenue quality and sustainability,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Reconciliation of billing/cash/GL and deferred revenue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ARR and key recurring KPIs (new/lost/expansion customers, churn, and retention);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 terms affecting price realization and revenue timing.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technology cost-base drivers,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Cloud/hosting/data-center and third-party platform/software cost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Sales and customer-acquisition costs, including commission capitalization and amortization;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Research and development / engineering spend mix between expensed and capitalized costs.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recurring-revenue working capital effects,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Deferred revenue and billing cadence implications for cash conversion;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DSO/DPO and receivable/payable aging trends, where relevant;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Completeness of accruals and judgmental balances with monthly versus annual treatment.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19"/>
    <w:lvlOverride w:ilvl="0">
      <w:startOverride w:val="1"/>
    </w:lvlOverride>
  </w:num>
  <w:num w:numId="44">
    <w:abstractNumId w:val="21"/>
    <w:lvlOverride w:ilvl="0">
      <w:startOverride w:val="1"/>
    </w:lvlOverride>
  </w:num>
  <w:num w:numId="45">
    <w:abstractNumId w:val="19"/>
    <w:lvlOverride w:ilvl="0">
      <w:startOverride w:val="1"/>
    </w:lvlOverride>
  </w:num>
  <w:num w:numId="46">
    <w:abstractNumId w:val="19"/>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21"/>
    <w:lvlOverride w:ilvl="0">
      <w:startOverride w:val="1"/>
    </w:lvlOverride>
  </w:num>
  <w:num w:numId="52">
    <w:abstractNumId w:val="19"/>
    <w:lvlOverride w:ilvl="0">
      <w:startOverride w:val="1"/>
    </w:lvlOverride>
  </w:num>
  <w:num w:numId="53">
    <w:abstractNumId w:val="19"/>
    <w:lvlOverride w:ilvl="0">
      <w:startOverride w:val="1"/>
    </w:lvlOverride>
  </w:num>
  <w:num w:numId="54">
    <w:abstractNumId w:val="19"/>
    <w:lvlOverride w:ilvl="0">
      <w:startOverride w:val="1"/>
    </w:lvlOverride>
  </w:num>
  <w:num w:numId="55">
    <w:abstractNumId w:val="19"/>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19"/>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21"/>
    <w:lvlOverride w:ilvl="0">
      <w:startOverride w:val="1"/>
    </w:lvlOverride>
  </w:num>
  <w:num w:numId="65">
    <w:abstractNumId w:val="19"/>
    <w:lvlOverride w:ilvl="0">
      <w:startOverride w:val="1"/>
    </w:lvlOverride>
  </w:num>
  <w:num w:numId="66">
    <w:abstractNumId w:val="21"/>
    <w:lvlOverride w:ilvl="0">
      <w:startOverride w:val="1"/>
    </w:lvlOverride>
  </w:num>
  <w:num w:numId="67">
    <w:abstractNumId w:val="19"/>
    <w:lvlOverride w:ilvl="0">
      <w:startOverride w:val="1"/>
    </w:lvlOverride>
  </w:num>
  <w:num w:numId="68">
    <w:abstractNumId w:val="21"/>
    <w:lvlOverride w:ilvl="0">
      <w:startOverride w:val="1"/>
    </w:lvlOverride>
  </w:num>
  <w:num w:numId="69">
    <w:abstractNumId w:val="19"/>
    <w:lvlOverride w:ilvl="0">
      <w:startOverride w:val="1"/>
    </w:lvlOverride>
  </w:num>
  <w:num w:numId="70">
    <w:abstractNumId w:val="21"/>
    <w:lvlOverride w:ilvl="0">
      <w:startOverride w:val="1"/>
    </w:lvlOverride>
  </w:num>
  <w:num w:numId="71">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