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the telecom product/service portfolio, customer segments, and go-to-market channels.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network and infrastructure model (owned versus leased) and key third-party dependencies.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key commercial arrangements (for example: carriers, wholesale, and roaming), where applicable.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telecom revenue quality and trends,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by service line and recurring versus usage-based components;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Churn, ARPU, net adds, retention, and related subscriber/customer KPIs;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Pricing, discounting, promotions, and contract terms driving revenue sustainability.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telecom capex profile and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Capex intensity and planned network/infrastructure investment programs;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Timing and drivers of capex deployment and deferral/backlog dynamics;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Lease-versus-buy considerations for infrastructure and related cash-flow effects.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telecom-specific commitments and contingencies,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Long-term network/site/capacity commitments and key vendor agreements;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Regulatory and licensing exposure (including spectrum-related commitments, where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Material customer credits, service-level penalties, and dispute exposure.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21"/>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19"/>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