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transportation revenue and margins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profitability by customer, customer type, and route/trip type;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Volume and utilization KPIs (for example: trip counts/load factors), including seasonality effects;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Transportation-specific cut-off timing considerations and non-recurring revenue components.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transportation operating-cost drivers,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Driver/labour costs and benefits;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Fuel, maintenance, repair, and other fleet operating costs;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Fixed versus variable cost behavior across key expense categories.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transportation-specific working capital considerations,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Seasonality effects and cash-management procedures;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Trade-ratio trends and timing effects around receivables/payables;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Normalization of significant non-recurring working capital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transportation inventory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Composition (for example: fuel, parts, supplies, and finished goods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 and turnover/aging;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Provisioning for obsolete or slow-moving inventory.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transportation capex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Fleet replacement cycle and related capital intensity;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Unit utilization and operating impact on replacement timing;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Deferred/planned capex and impairment considerations.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transportation-specific debt and debt-like items, including letters of credit, capital vendor payables, and fleet-related financing obligations.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19"/>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19"/>
    <w:lvlOverride w:ilvl="0">
      <w:startOverride w:val="1"/>
    </w:lvlOverride>
  </w:num>
  <w:num w:numId="68">
    <w:abstractNumId w:val="21"/>
    <w:lvlOverride w:ilvl="0">
      <w:startOverride w:val="1"/>
    </w:lvlOverride>
  </w:num>
  <w:num w:numId="69">
    <w:abstractNumId w:val="19"/>
    <w:lvlOverride w:ilvl="0">
      <w:startOverride w:val="1"/>
    </w:lvlOverride>
  </w:num>
  <w:num w:numId="70">
    <w:abstractNumId w:val="21"/>
    <w:lvlOverride w:ilvl="0">
      <w:startOverride w:val="1"/>
    </w:lvlOverride>
  </w:num>
  <w:num w:numId="71">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