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Jordan Lee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February 6,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[REVIEW: Provide 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[REVIEW: Provide 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Falcon</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public</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Jordan Lee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Immediately</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TBD</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Avery Chen</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[REVIEW: Provide 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[REVIEW: Provide 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[REVIEW: Provide 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[REVIEW: Provide 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[REVIEW: Provide 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[REVIEW: Provide 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[REVIEW: Provide 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[REVIEW: Provide 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[REVIEW: Provide 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[REVIEW: Insert existing services disclosure]</w:t>
      </w:r>
      <w:r w:rsidRPr="008E3375">
        <w:rPr>
          <w:rFonts w:asciiTheme="minorHAnsi" w:hAnsiTheme="minorHAnsi" w:cstheme="minorHAnsi"/>
          <w:sz w:val="20"/>
        </w:rPr>
        <w:t xml:space="preserve"> to Target </w:t>
      </w:r>
      <w:r w:rsidR="00200416">
        <w:rPr>
          <w:rFonts w:asciiTheme="minorHAnsi" w:hAnsiTheme="minorHAnsi" w:cstheme="minorHAnsi"/>
          <w:sz w:val="20"/>
        </w:rPr>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[REVIEW: Provide 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[REVIEW: Insert confidentiality 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[REVIEW: Provide 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[REVIEW: Confirm indemnity exclusion (or leave blank)]</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[REVIEW: Provide 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[REVIEW: Insert closing 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Avery Chen</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Avery Chen</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to obtain background information about Target,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History;</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Services offered;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Trends in payor mix;</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 novo expansion;</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Financing arrangements with patients, if applicable;</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Business risks and opportunities;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Information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accounting policies as disclosed in the audited financial statements and perform a high-level gap assessment to identify differences between the Target’s accounting policies and practices and IFRS Accounting Standards as applied by Parent.</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Reporting methodology;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Basis for cost allocations,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recognition policies by service type, and any recent changes in policy;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Significant accounting estimates;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Recent or contemplated changes in accounting principles, procedures, or estimates;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Intercompany accounts and related party transactions;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Non-recurring transactions.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them with management to gain an understanding of accounting policies and practices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 timing, structure of financial reporting, and interaction with the information/accounting systems);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(i.e. allowances for doubtful accounts, inventory provisions, accruals, etc.);</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potential adjustments identified regarding the profit and loss performance of Target in the form of a quality of earnings analysis, summarizing the risks that may impact EBITDA,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Management identified adjustments;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revenue and expenses;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out of period revenue and expense (e.g., cash to accrual accounting impact);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 forma impacts for items such as recent de novo.</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and comment on the adjusted EBITDA prepared by Target and its sell-side advisors,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Roll-forward the quality of earnings analysis included in the sell-side diligence report accordingly;</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Propose any additional potential adjustments to historical earnings before interest, taxes, depreciation, and amortization ("EBITDA"), presented on a consolidated basis, by considering: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validity / impact of adjustments proposed by Management and the sell-side due diligence advisors, including Restructuring costs; Impact of loyalty program breakage; Sourcing changes; Vacation policy change; Accounting changes; Other normalization adjustments; Pro forma and run-rate adjustments; Carve-out, stand alone, corporate allocation considerations.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Work with Client to consider synergy considerations, purchasing rebates, etc.(See below synergies validation for additional detail);</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large, unusual or non-recurring events or transactions that may have distorted results;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discovered in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the underlying transactional data (i.e. sales database), if available, and gain an understanding of the major trends in revenue and margins addressing areas including:</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and end market/ segment/ region;</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and volume trends.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impact of large or long-term orders/ seasonality (if applicable);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any non-recurring components of revenue.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customer category (i.e. individual, business);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distribution channel (i.e. online, wholesale, etc.);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mix and cross-sell analysis.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Seasonal fluctuations in demand and monthly sales trends; and</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revenue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Gross to net revenue;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gross margin by customer;</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Organic growth and delineation between price vs. volume;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 practices;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Promotions and discounts;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Any non-recurring components of revenue;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seasonality, if any;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components of cost of sales and key suppliers.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center-level financial information including key operating metrics as well as related revenue and EBITDA. Inquire of Target regarding unusual trends or fluctuations in center performance over the historical period, including:</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or non-standard contracts;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and profitability for the following changes: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Same location and de novo center;</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Center-based vs. home-based;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Type of procedure by CPT code;</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Top patient and/or top payers;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direct and indirect operating expenses.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Center-level expense trends;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Allocations of corporate overhead costs, if any;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 novo start-up costs;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Components of other income and expense for the historical periods. Consider items that may impact EBITDA.</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Understands the health and sustainability of revenue and margin, that will bring clarity and insights into the drivers of business performance to strengthen deal conviction. Provides confidence in value creation planning / realization by uncovering opportunities earlier.</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Leveraging proprietary analytics tool, use the transaction / sales database from the IT / ERP systems to analyze revenue and profitability (cost, price, margin), key KPIs (e.g., average sales price, average order size, etc.) and performance trends (e.g., concentration, price-volume-mix, high growth SKUs, negative margins, etc.); evaluating by front-store and Pharmacy (Rx), Category (Dispensary, Over-the-Counter Products, Health and Beauty, Home Healthcare, Grocery, etc.), sub-category (by brand and sub-category), channel (brick &amp; mortar, eCom), by brand, and by geography (store ID, postal code, city, etc.)</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Where information is available, also include Front of Store Partners (e.g.,, etc.) and eCom Partners (,, etc.)</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Where information is available, generic versus branded drugs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Where information is available, public, private, or cash</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Integrate anonymized customer data to understand revenue and mix (one-time versus recurring) across different locations; use of loyalty programs loyalty programs (e.g., impact of discounts, recurring nature of customers, etc.); and how this impacts overall revenue sustainability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Store costs analyzed as a percentage of sales or applicable metric (selling payroll, other store payroll, store rent, marketing, shrinkage, sales-by-square footage, etc.).</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Sales and COGS adjustments (including sales returns, markdowns, supplier revenue, stock shrinkage, obsolescence, other income, loyalty points and gift cards);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Consolidate the data into a clean Excel data cube and PowerBI Analysis file, and extract and understand any patterns and trends that might inform value creation and optimization opportunities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Behavior Therapists (registered and unregistered) and Board Certified Behavior Analyst; compensation and benefits, including incentive compensation and historical turnover;</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Non-provider salaries, wages, and benefits, including incentive compensation;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Owner compensation and benefits;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Treatment supplies, including key suppliers and purchasing terms;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Center-level costs and sub-leasing arrangements;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Insurance expense;</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administrative/corporate expenses;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Overhead allocations;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selling, general and administration expenses and inquire about:</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Salaries and wages (including headcount by area and function, if possible);</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General and administrative expenses;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Information systems expenses;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Corporate costs and any allocations to store level as applicable; clarify expenses with</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Extraordinary expenses;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Rent and leases; and</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Miscellaneous and other expenses.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working capital on a monthly basis. Inquire about historical trends, including seasonality, fluctuations in key metrics such as days revenue outstanding, days payable outstanding, and working capital as a percent of trailing revenue, and other significant items.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historical working capital in the business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inventory, accounts payable and accruals, etc.);</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Working capital trends and impact on reported metrics;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understanding non-trade balances, etc.);</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provisions, and other accruals requiring judgment;</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Working capital seasonality;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trends in key working capital metrics.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accounts receivable and inquire about:</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Aging analysis by center by payor;</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allowances;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doubtful accounts and write-offs;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Prior period accounts receivable adjustments;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Self-pay and credit balances;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Collection experience;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reserves and adjustments.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Aging analysis and related credit terms (including special terms);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Reserve and adjustments.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accounts payable and accrued liabilities and inquire about:</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w:t>
      </w:r>
    </w:p>
    <w:p w14:paraId="45E4FF87" w14:textId="77777777" w:rsidR="003C4524" w:rsidRPr="00FF7051" w:rsidRDefault="003C4524" w:rsidP="00783715">
      <w:pPr>
        <w:pStyle w:val="BodyText"/>
        <w:numPr>
          <w:ilvl w:val="0"/>
          <w:numId w:val="7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 revenue; and</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accounts payable and accrued expenses and inquire about:</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AP aging analysis, terms of trade with major vendors and days payables outstanding;</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expenses; and</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7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7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fixed assets, capital expenditures, and other assets and inquire about:</w:t>
      </w:r>
    </w:p>
    <w:p w14:paraId="45E4FF87" w14:textId="77777777" w:rsidR="003C4524" w:rsidRPr="00FF7051" w:rsidRDefault="003C4524" w:rsidP="00783715">
      <w:pPr>
        <w:pStyle w:val="BodyText"/>
        <w:numPr>
          <w:ilvl w:val="0"/>
          <w:numId w:val="7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deferred and planned capital expenditures;</w:t>
      </w:r>
    </w:p>
    <w:p w14:paraId="45E4FF87" w14:textId="77777777" w:rsidR="003C4524" w:rsidRPr="00FF7051" w:rsidRDefault="003C4524" w:rsidP="00783715">
      <w:pPr>
        <w:pStyle w:val="BodyText"/>
        <w:numPr>
          <w:ilvl w:val="0"/>
          <w:numId w:val="7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Capitalized internal labor;</w:t>
      </w:r>
    </w:p>
    <w:p w14:paraId="45E4FF87" w14:textId="77777777" w:rsidR="003C4524" w:rsidRPr="00FF7051" w:rsidRDefault="003C4524" w:rsidP="00783715">
      <w:pPr>
        <w:pStyle w:val="BodyText"/>
        <w:numPr>
          <w:ilvl w:val="0"/>
          <w:numId w:val="7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Under-utilized assets; and</w:t>
      </w:r>
    </w:p>
    <w:p w14:paraId="45E4FF87" w14:textId="77777777" w:rsidR="003C4524" w:rsidRPr="00FF7051" w:rsidRDefault="003C4524" w:rsidP="00783715">
      <w:pPr>
        <w:pStyle w:val="BodyText"/>
        <w:numPr>
          <w:ilvl w:val="0"/>
          <w:numId w:val="7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Impairment write-downs and issues.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historical and future capital cost requirements including:</w:t>
      </w:r>
    </w:p>
    <w:p w14:paraId="45E4FF87" w14:textId="77777777" w:rsidR="003C4524" w:rsidRPr="00FF7051" w:rsidRDefault="003C4524" w:rsidP="00783715">
      <w:pPr>
        <w:pStyle w:val="BodyText"/>
        <w:numPr>
          <w:ilvl w:val="0"/>
          <w:numId w:val="7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Fixed asset continuity schedules (including significant additions and disposals);</w:t>
      </w:r>
    </w:p>
    <w:p w14:paraId="45E4FF87" w14:textId="77777777" w:rsidR="003C4524" w:rsidRPr="00FF7051" w:rsidRDefault="003C4524" w:rsidP="00783715">
      <w:pPr>
        <w:pStyle w:val="BodyText"/>
        <w:numPr>
          <w:ilvl w:val="0"/>
          <w:numId w:val="7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 and</w:t>
      </w:r>
    </w:p>
    <w:p w14:paraId="45E4FF87" w14:textId="77777777" w:rsidR="003C4524" w:rsidRPr="00FF7051" w:rsidRDefault="003C4524" w:rsidP="00783715">
      <w:pPr>
        <w:pStyle w:val="BodyText"/>
        <w:numPr>
          <w:ilvl w:val="0"/>
          <w:numId w:val="7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Planned, committed, and deferred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Debt;</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Self-insurance;</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Post-retirement benefits;</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Incentive compensation plans;</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Leases;</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Capital expenditures; and</w:t>
      </w:r>
    </w:p>
    <w:p w14:paraId="659699C4" w14:textId="77777777" w:rsidR="003C4524" w:rsidRPr="00FF7051" w:rsidRDefault="003C4524" w:rsidP="00783715">
      <w:pPr>
        <w:pStyle w:val="BodyText"/>
        <w:numPr>
          <w:ilvl w:val="0"/>
          <w:numId w:val="77"/>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significant and/or unusual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9"/>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9"/>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 and</w:t>
      </w:r>
    </w:p>
    <w:p w14:paraId="659699C4" w14:textId="77777777" w:rsidR="003C4524" w:rsidRPr="00FF7051" w:rsidRDefault="003C4524" w:rsidP="00783715">
      <w:pPr>
        <w:pStyle w:val="BodyText"/>
        <w:numPr>
          <w:ilvl w:val="0"/>
          <w:numId w:val="7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read, and discuss with management net debt and debt-like items, whether recorded on the balance sheet or off-balance sheet, including the expected future payout timing and amounts.</w:t>
      </w:r>
    </w:p>
    <w:p w14:paraId="659699C4" w14:textId="77777777" w:rsidR="003C4524" w:rsidRPr="00FF7051" w:rsidRDefault="003C4524" w:rsidP="00783715">
      <w:pPr>
        <w:pStyle w:val="BodyText"/>
        <w:numPr>
          <w:ilvl w:val="0"/>
          <w:numId w:val="79"/>
        </w:numPr>
        <w:spacing w:line="260" w:lineRule="exact"/>
        <w:ind w:left="720"/>
        <w:rPr>
          <w:rFonts w:asciiTheme="minorHAnsi" w:hAnsiTheme="minorHAnsi" w:cstheme="minorHAnsi"/>
          <w:sz w:val="20"/>
        </w:rPr>
      </w:pPr>
      <w:r w:rsidRPr="00FF7051">
        <w:rPr>
          <w:rFonts w:asciiTheme="minorHAnsi" w:hAnsiTheme="minorHAnsi" w:cstheme="minorHAnsi"/>
          <w:b w:val="0"/>
          <w:sz w:val="20"/>
        </w:rPr>
        <w:t>Prepare a summary of debt and debt-like items (e.g. notes payable, capital vendor payables, deferred purchase price of property or services, accrued bonuses, capital lease obligation, etc.), commitments and contingencies.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Store Portfolio Analysis</w:t>
      </w:r>
    </w:p>
    <w:p w14:paraId="659699C4" w14:textId="77777777" w:rsidR="003C4524" w:rsidRPr="00FF7051" w:rsidRDefault="003C4524" w:rsidP="00783715">
      <w:pPr>
        <w:pStyle w:val="BodyText"/>
        <w:numPr>
          <w:ilvl w:val="0"/>
          <w:numId w:val="8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store P&amp;L data to perform analysis to understand the drivers of historical sales and profitability development within the store portfolio to perform the following (to the extent possible based on information availability and transaction timelines):</w:t>
      </w:r>
    </w:p>
    <w:p w14:paraId="45E4FF87" w14:textId="77777777" w:rsidR="003C4524" w:rsidRPr="00FF7051" w:rsidRDefault="003C4524" w:rsidP="00783715">
      <w:pPr>
        <w:pStyle w:val="BodyText"/>
        <w:numPr>
          <w:ilvl w:val="0"/>
          <w:numId w:val="8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Sales and profitability by store location (including same store sales analysis, front store vs pharmacy, cost and margin profiles);</w:t>
      </w:r>
    </w:p>
    <w:p w14:paraId="659699C4" w14:textId="77777777" w:rsidR="003C4524" w:rsidRPr="00FF7051" w:rsidRDefault="003C4524" w:rsidP="00783715">
      <w:pPr>
        <w:pStyle w:val="BodyText"/>
        <w:numPr>
          <w:ilvl w:val="0"/>
          <w:numId w:val="80"/>
        </w:numPr>
        <w:spacing w:line="260" w:lineRule="exact"/>
        <w:ind w:left="720"/>
        <w:rPr>
          <w:rFonts w:asciiTheme="minorHAnsi" w:hAnsiTheme="minorHAnsi" w:cstheme="minorHAnsi"/>
          <w:sz w:val="20"/>
        </w:rPr>
      </w:pPr>
      <w:r w:rsidRPr="00FF7051">
        <w:rPr>
          <w:rFonts w:asciiTheme="minorHAnsi" w:hAnsiTheme="minorHAnsi" w:cstheme="minorHAnsi"/>
          <w:b w:val="0"/>
          <w:sz w:val="20"/>
        </w:rPr>
        <w:t>Segment the store portfolio to assess historical performance based on the following:</w:t>
      </w:r>
    </w:p>
    <w:p w14:paraId="45E4FF87" w14:textId="77777777" w:rsidR="003C4524" w:rsidRPr="00FF7051" w:rsidRDefault="003C4524" w:rsidP="00783715">
      <w:pPr>
        <w:pStyle w:val="BodyText"/>
        <w:numPr>
          <w:ilvl w:val="0"/>
          <w:numId w:val="8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Outlier performance – top quartile vs bottom quartile performing stores</w:t>
      </w:r>
    </w:p>
    <w:p w14:paraId="45E4FF87" w14:textId="77777777" w:rsidR="003C4524" w:rsidRPr="00FF7051" w:rsidRDefault="003C4524" w:rsidP="00783715">
      <w:pPr>
        <w:pStyle w:val="BodyText"/>
        <w:numPr>
          <w:ilvl w:val="0"/>
          <w:numId w:val="8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Store-type – Suburban / Dense Urban / Rural / etc., size format, storefront vs mall, etc</w:t>
      </w:r>
    </w:p>
    <w:p w14:paraId="45E4FF87" w14:textId="77777777" w:rsidR="003C4524" w:rsidRPr="00FF7051" w:rsidRDefault="003C4524" w:rsidP="00783715">
      <w:pPr>
        <w:pStyle w:val="BodyText"/>
        <w:numPr>
          <w:ilvl w:val="0"/>
          <w:numId w:val="8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Existing (same) stores, new stores, renovated stores, closed stores; standard, specialty, next gen</w:t>
      </w:r>
    </w:p>
    <w:p w14:paraId="45E4FF87" w14:textId="77777777" w:rsidR="003C4524" w:rsidRPr="00FF7051" w:rsidRDefault="003C4524" w:rsidP="00783715">
      <w:pPr>
        <w:pStyle w:val="BodyText"/>
        <w:numPr>
          <w:ilvl w:val="0"/>
          <w:numId w:val="8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Cohort analysis based on vintage year:</w:t>
      </w:r>
    </w:p>
    <w:p w14:paraId="45E4FF87" w14:textId="77777777" w:rsidR="003C4524" w:rsidRPr="00FF7051" w:rsidRDefault="003C4524" w:rsidP="00783715">
      <w:pPr>
        <w:pStyle w:val="BodyText"/>
        <w:numPr>
          <w:ilvl w:val="0"/>
          <w:numId w:val="8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Ramp analysis to understand ramp profile and assess reasonability of pro forma revenue and EBITDA maturity adjustments for recently opened locations;</w:t>
      </w:r>
    </w:p>
    <w:p w14:paraId="45E4FF87" w14:textId="77777777" w:rsidR="003C4524" w:rsidRPr="00FF7051" w:rsidRDefault="003C4524" w:rsidP="00783715">
      <w:pPr>
        <w:pStyle w:val="BodyText"/>
        <w:numPr>
          <w:ilvl w:val="0"/>
          <w:numId w:val="8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Store productivity and KPI metrics (e.g. Rx count, Rx revenue per Rx, sales/profitability per square foot);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8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inventory and inquire and comment on:</w:t>
      </w:r>
    </w:p>
    <w:p w14:paraId="45E4FF87" w14:textId="77777777" w:rsidR="003C4524" w:rsidRPr="00FF7051" w:rsidRDefault="003C4524" w:rsidP="00783715">
      <w:pPr>
        <w:pStyle w:val="BodyText"/>
        <w:numPr>
          <w:ilvl w:val="0"/>
          <w:numId w:val="8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inventory valuation methodology (e.g. standard costing);</w:t>
      </w:r>
    </w:p>
    <w:p w14:paraId="45E4FF87" w14:textId="77777777" w:rsidR="003C4524" w:rsidRPr="00FF7051" w:rsidRDefault="003C4524" w:rsidP="00783715">
      <w:pPr>
        <w:pStyle w:val="BodyText"/>
        <w:numPr>
          <w:ilvl w:val="0"/>
          <w:numId w:val="8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vendor allowances, rebates, allowances and/or purchase commitments and related programs;</w:t>
      </w:r>
    </w:p>
    <w:p w14:paraId="45E4FF87" w14:textId="77777777" w:rsidR="003C4524" w:rsidRPr="00FF7051" w:rsidRDefault="003C4524" w:rsidP="00783715">
      <w:pPr>
        <w:pStyle w:val="BodyText"/>
        <w:numPr>
          <w:ilvl w:val="0"/>
          <w:numId w:val="8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Return to vendor provisions;</w:t>
      </w:r>
    </w:p>
    <w:p w14:paraId="45E4FF87" w14:textId="77777777" w:rsidR="003C4524" w:rsidRPr="00FF7051" w:rsidRDefault="003C4524" w:rsidP="00783715">
      <w:pPr>
        <w:pStyle w:val="BodyText"/>
        <w:numPr>
          <w:ilvl w:val="0"/>
          <w:numId w:val="8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aging and estimated provision, if any (i.e. slow-moving inventory).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Other Assets</w:t>
      </w:r>
    </w:p>
    <w:p w14:paraId="659699C4" w14:textId="77777777" w:rsidR="003C4524" w:rsidRPr="00FF7051" w:rsidRDefault="003C4524" w:rsidP="00783715">
      <w:pPr>
        <w:pStyle w:val="BodyText"/>
        <w:numPr>
          <w:ilvl w:val="0"/>
          <w:numId w:val="8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summary of and comment on unusual items, significant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Purchase And Sale Agreement</w:t>
      </w:r>
    </w:p>
    <w:p w14:paraId="659699C4" w14:textId="77777777" w:rsidR="003C4524" w:rsidRPr="00FF7051" w:rsidRDefault="003C4524" w:rsidP="00783715">
      <w:pPr>
        <w:pStyle w:val="BodyText"/>
        <w:numPr>
          <w:ilvl w:val="0"/>
          <w:numId w:val="86"/>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available draft of the Purchase and Sale Agreement and offer commentary to you and your attorneys primarily concerning sections relating to accounting matters, based on the results of the due diligence assistance we provide to you. You agree to review with your attorney all our comments and suggestions concerning the Purchase and Sale agreement before acting on any of our suggestions.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Assistance With Transaction Documentation</w:t>
      </w:r>
    </w:p>
    <w:p w14:paraId="659699C4" w14:textId="77777777" w:rsidR="003C4524" w:rsidRPr="00FF7051" w:rsidRDefault="003C4524" w:rsidP="00783715">
      <w:pPr>
        <w:pStyle w:val="BodyText"/>
        <w:numPr>
          <w:ilvl w:val="0"/>
          <w:numId w:val="87"/>
        </w:numPr>
        <w:spacing w:line="260" w:lineRule="exact"/>
        <w:ind w:left="720"/>
        <w:rPr>
          <w:rFonts w:asciiTheme="minorHAnsi" w:hAnsiTheme="minorHAnsi" w:cstheme="minorHAnsi"/>
          <w:sz w:val="20"/>
        </w:rPr>
      </w:pPr>
      <w:r w:rsidRPr="00FF7051">
        <w:rPr>
          <w:rFonts w:asciiTheme="minorHAnsi" w:hAnsiTheme="minorHAnsi" w:cstheme="minorHAnsi"/>
          <w:b w:val="0"/>
          <w:sz w:val="20"/>
        </w:rPr>
        <w:t>Assist with relevant asset purchase agreement financial definitions (e.g. net working capital and debt-like item definitions and adjustment procedures).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Waterfall Revenue Analysis</w:t>
      </w:r>
    </w:p>
    <w:p w14:paraId="659699C4" w14:textId="77777777" w:rsidR="003C4524" w:rsidRPr="00FF7051" w:rsidRDefault="003C4524" w:rsidP="00783715">
      <w:pPr>
        <w:pStyle w:val="BodyText"/>
        <w:numPr>
          <w:ilvl w:val="0"/>
          <w:numId w:val="88"/>
        </w:numPr>
        <w:spacing w:line="260" w:lineRule="exact"/>
        <w:ind w:left="720"/>
        <w:rPr>
          <w:rFonts w:asciiTheme="minorHAnsi" w:hAnsiTheme="minorHAnsi" w:cstheme="minorHAnsi"/>
          <w:sz w:val="20"/>
        </w:rPr>
      </w:pPr>
      <w:r w:rsidRPr="00FF7051">
        <w:rPr>
          <w:rFonts w:asciiTheme="minorHAnsi" w:hAnsiTheme="minorHAnsi" w:cstheme="minorHAnsi"/>
          <w:b w:val="0"/>
          <w:sz w:val="20"/>
        </w:rPr>
        <w:t>If available, obtain patient/encounter-level detail from the billing and collections systems utilized by Target to perform a claims-level revenue analysis reflecting net cash received on closed claims, and estimated cash expected to be received on open claims (based on historical reimbursement trends). Discuss with management:</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Drivers of monthly/quarterly/annual net revenue trends:</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By location (8 clinic locations and 2 de novo locations);</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By significant payor; and</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By significant service code.</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Reimbursement trends by payor, by service, and by location;</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Pricing/volume trends by location by payor by service;</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Payor mix in total and by location;</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Trends and drivers of fluctuation in the cash collection cycle;</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cash collections reported in the billing system to third-party bank statements (on a sample basis);</w:t>
      </w:r>
    </w:p>
    <w:p w14:paraId="45E4FF87" w14:textId="77777777" w:rsidR="003C4524" w:rsidRPr="00FF7051" w:rsidRDefault="003C4524" w:rsidP="00783715">
      <w:pPr>
        <w:pStyle w:val="BodyText"/>
        <w:numPr>
          <w:ilvl w:val="0"/>
          <w:numId w:val="8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billing and collection information to financial statements; and</w:t>
      </w:r>
    </w:p>
    <w:p w14:paraId="659699C4" w14:textId="77777777" w:rsidR="003C4524" w:rsidRPr="00FF7051" w:rsidRDefault="003C4524" w:rsidP="00783715">
      <w:pPr>
        <w:pStyle w:val="BodyText"/>
        <w:numPr>
          <w:ilvl w:val="0"/>
          <w:numId w:val="88"/>
        </w:numPr>
        <w:spacing w:line="260" w:lineRule="exact"/>
        <w:ind w:left="720"/>
        <w:rPr>
          <w:rFonts w:asciiTheme="minorHAnsi" w:hAnsiTheme="minorHAnsi" w:cstheme="minorHAnsi"/>
          <w:sz w:val="20"/>
        </w:rPr>
      </w:pPr>
      <w:r w:rsidRPr="00FF7051">
        <w:rPr>
          <w:rFonts w:asciiTheme="minorHAnsi" w:hAnsiTheme="minorHAnsi" w:cstheme="minorHAnsi"/>
          <w:b w:val="0"/>
          <w:sz w:val="20"/>
        </w:rPr>
        <w:t>Bridge revenue for the following changes:</w:t>
      </w:r>
    </w:p>
    <w:p w14:paraId="45E4FF87" w14:textId="77777777" w:rsidR="003C4524" w:rsidRPr="00FF7051" w:rsidRDefault="003C4524" w:rsidP="00783715">
      <w:pPr>
        <w:pStyle w:val="BodyText"/>
        <w:numPr>
          <w:ilvl w:val="0"/>
          <w:numId w:val="9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Patient volumes;</w:t>
      </w:r>
    </w:p>
    <w:p w14:paraId="45E4FF87" w14:textId="77777777" w:rsidR="003C4524" w:rsidRPr="00FF7051" w:rsidRDefault="003C4524" w:rsidP="00783715">
      <w:pPr>
        <w:pStyle w:val="BodyText"/>
        <w:numPr>
          <w:ilvl w:val="0"/>
          <w:numId w:val="9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Same store, de novo, and acquired facilities; and</w:t>
      </w:r>
    </w:p>
    <w:p w14:paraId="45E4FF87" w14:textId="77777777" w:rsidR="003C4524" w:rsidRPr="00FF7051" w:rsidRDefault="003C4524" w:rsidP="00783715">
      <w:pPr>
        <w:pStyle w:val="BodyText"/>
        <w:numPr>
          <w:ilvl w:val="0"/>
          <w:numId w:val="9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direct and indirect operating expense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Working Papers</w:t>
      </w:r>
    </w:p>
    <w:p w14:paraId="659699C4" w14:textId="77777777" w:rsidR="003C4524" w:rsidRPr="00FF7051" w:rsidRDefault="003C4524" w:rsidP="00783715">
      <w:pPr>
        <w:pStyle w:val="BodyText"/>
        <w:numPr>
          <w:ilvl w:val="0"/>
          <w:numId w:val="9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the auditor's working papers for the latest fiscal year:</w:t>
      </w:r>
    </w:p>
    <w:p w14:paraId="659699C4" w14:textId="77777777" w:rsidR="003C4524" w:rsidRPr="00FF7051" w:rsidRDefault="003C4524" w:rsidP="00783715">
      <w:pPr>
        <w:pStyle w:val="BodyText"/>
        <w:numPr>
          <w:ilvl w:val="0"/>
          <w:numId w:val="9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any changes in accounting policies or methods; and</w:t>
      </w:r>
    </w:p>
    <w:p w14:paraId="659699C4" w14:textId="77777777" w:rsidR="003C4524" w:rsidRPr="00FF7051" w:rsidRDefault="003C4524" w:rsidP="00783715">
      <w:pPr>
        <w:pStyle w:val="BodyText"/>
        <w:numPr>
          <w:ilvl w:val="0"/>
          <w:numId w:val="9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9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as identified in the provided audit materials</w:t>
      </w:r>
    </w:p>
    <w:p w14:paraId="659699C4" w14:textId="77777777" w:rsidR="003C4524" w:rsidRPr="00FF7051" w:rsidRDefault="003C4524" w:rsidP="00783715">
      <w:pPr>
        <w:pStyle w:val="BodyText"/>
        <w:numPr>
          <w:ilvl w:val="0"/>
          <w:numId w:val="91"/>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of the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Jordan Lee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TBD</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Jordan Lee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Falcon</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[REVIEW: Provide CHOICE_DEAL_TYPE_2]</w:t>
      </w:r>
      <w:r w:rsidR="00077BF0">
        <w:rPr>
          <w:rFonts w:asciiTheme="minorHAnsi" w:hAnsiTheme="minorHAnsi" w:cstheme="minorHAnsi"/>
          <w:sz w:val="20"/>
        </w:rPr>
        <w:t xml:space="preserve"> </w:t>
      </w:r>
      <w:r w:rsidR="00200416">
        <w:rPr>
          <w:rFonts w:asciiTheme="minorHAnsi" w:hAnsiTheme="minorHAnsi" w:cstheme="minorHAnsi"/>
          <w:sz w:val="20"/>
        </w:rPr>
        <w:t>[REVIEW: Provide 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[REVIEW: Provide 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Avery Chen</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[REVIEW: Provide 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[REVIEW: Provide RECIPIENT_LEGAL_NAME]</w:t>
      </w:r>
    </w:p>
    <w:p w14:paraId="01569103" w14:textId="77777777" w:rsidR="00D62D05" w:rsidRPr="00727A4C" w:rsidRDefault="00200416" w:rsidP="00783715">
      <w:pPr>
        <w:spacing w:line="260" w:lineRule="atLeast"/>
        <w:ind w:right="360"/>
        <w:rPr>
          <w:rFonts w:cs="Arial"/>
          <w:sz w:val="20"/>
        </w:rPr>
      </w:pPr>
      <w:r>
        <w:rPr>
          <w:rFonts w:cs="Arial"/>
          <w:sz w:val="20"/>
        </w:rPr>
        <w:t>[REVIEW: Provide CLIENT_ADDRESS_LINE_1]</w:t>
      </w:r>
    </w:p>
    <w:p w14:paraId="7105CAA5" w14:textId="77777777" w:rsidR="00D62D05" w:rsidRPr="00727A4C" w:rsidRDefault="00200416" w:rsidP="00783715">
      <w:pPr>
        <w:spacing w:line="260" w:lineRule="atLeast"/>
        <w:ind w:right="360"/>
        <w:rPr>
          <w:rFonts w:cs="Arial"/>
          <w:sz w:val="20"/>
        </w:rPr>
      </w:pPr>
      <w:r>
        <w:rPr>
          <w:rFonts w:cs="Arial"/>
          <w:sz w:val="20"/>
        </w:rPr>
        <w:t>[REVIEW: Provide CLIENT_ADDRESS_LINE_2]</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TBD</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Falcon</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[REVIEW: Provide CHOICE_DEAL_TYPE_3]</w:t>
      </w:r>
      <w:r w:rsidR="00C37147">
        <w:rPr>
          <w:rFonts w:ascii="Arial" w:hAnsi="Arial" w:cs="Arial"/>
          <w:sz w:val="20"/>
        </w:rPr>
        <w:t xml:space="preserve"> </w:t>
      </w:r>
      <w:r w:rsidR="00200416">
        <w:rPr>
          <w:rFonts w:ascii="Arial" w:hAnsi="Arial" w:cs="Arial"/>
          <w:sz w:val="20"/>
        </w:rPr>
        <w:t>[REVIEW: Provide 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[REVIEW: Provide 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Avery Chen</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[REVIEW: Provide 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Falcon</w:t>
    </w:r>
  </w:p>
  <w:p w14:paraId="79447344" w14:textId="77777777" w:rsidR="00106DAC" w:rsidRDefault="00200416" w:rsidP="00D007CC">
    <w:pPr>
      <w:pStyle w:val="Header"/>
      <w:jc w:val="right"/>
    </w:pPr>
    <w:r>
      <w:t>February 6,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0"/>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0"/>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0"/>
    <w:lvlOverride w:ilvl="0">
      <w:startOverride w:val="1"/>
    </w:lvlOverride>
  </w:num>
  <w:num w:numId="71">
    <w:abstractNumId w:val="30"/>
    <w:lvlOverride w:ilvl="0">
      <w:startOverride w:val="1"/>
    </w:lvlOverride>
  </w:num>
  <w:num w:numId="72">
    <w:abstractNumId w:val="30"/>
    <w:lvlOverride w:ilvl="0">
      <w:startOverride w:val="1"/>
    </w:lvlOverride>
  </w:num>
  <w:num w:numId="73">
    <w:abstractNumId w:val="34"/>
    <w:lvlOverride w:ilvl="0">
      <w:startOverride w:val="1"/>
    </w:lvlOverride>
  </w:num>
  <w:num w:numId="74">
    <w:abstractNumId w:val="30"/>
    <w:lvlOverride w:ilvl="0">
      <w:startOverride w:val="1"/>
    </w:lvlOverride>
  </w:num>
  <w:num w:numId="75">
    <w:abstractNumId w:val="30"/>
    <w:lvlOverride w:ilvl="0">
      <w:startOverride w:val="1"/>
    </w:lvlOverride>
  </w:num>
  <w:num w:numId="76">
    <w:abstractNumId w:val="30"/>
    <w:lvlOverride w:ilvl="0">
      <w:startOverride w:val="1"/>
    </w:lvlOverride>
  </w:num>
  <w:num w:numId="77">
    <w:abstractNumId w:val="34"/>
    <w:lvlOverride w:ilvl="0">
      <w:startOverride w:val="1"/>
    </w:lvlOverride>
  </w:num>
  <w:num w:numId="78">
    <w:abstractNumId w:val="30"/>
    <w:lvlOverride w:ilvl="0">
      <w:startOverride w:val="1"/>
    </w:lvlOverride>
  </w:num>
  <w:num w:numId="79">
    <w:abstractNumId w:val="34"/>
    <w:lvlOverride w:ilvl="0">
      <w:startOverride w:val="1"/>
    </w:lvlOverride>
  </w:num>
  <w:num w:numId="80">
    <w:abstractNumId w:val="34"/>
    <w:lvlOverride w:ilvl="0">
      <w:startOverride w:val="1"/>
    </w:lvlOverride>
  </w:num>
  <w:num w:numId="81">
    <w:abstractNumId w:val="30"/>
    <w:lvlOverride w:ilvl="0">
      <w:startOverride w:val="1"/>
    </w:lvlOverride>
  </w:num>
  <w:num w:numId="82">
    <w:abstractNumId w:val="30"/>
    <w:lvlOverride w:ilvl="0">
      <w:startOverride w:val="1"/>
    </w:lvlOverride>
  </w:num>
  <w:num w:numId="83">
    <w:abstractNumId w:val="34"/>
    <w:lvlOverride w:ilvl="0">
      <w:startOverride w:val="1"/>
    </w:lvlOverride>
  </w:num>
  <w:num w:numId="84">
    <w:abstractNumId w:val="30"/>
    <w:lvlOverride w:ilvl="0">
      <w:startOverride w:val="1"/>
    </w:lvlOverride>
  </w:num>
  <w:num w:numId="85">
    <w:abstractNumId w:val="34"/>
    <w:lvlOverride w:ilvl="0">
      <w:startOverride w:val="1"/>
    </w:lvlOverride>
  </w:num>
  <w:num w:numId="86">
    <w:abstractNumId w:val="34"/>
    <w:lvlOverride w:ilvl="0">
      <w:startOverride w:val="1"/>
    </w:lvlOverride>
  </w:num>
  <w:num w:numId="87">
    <w:abstractNumId w:val="34"/>
    <w:lvlOverride w:ilvl="0">
      <w:startOverride w:val="1"/>
    </w:lvlOverride>
  </w:num>
  <w:num w:numId="88">
    <w:abstractNumId w:val="34"/>
    <w:lvlOverride w:ilvl="0">
      <w:startOverride w:val="1"/>
    </w:lvlOverride>
  </w:num>
  <w:num w:numId="89">
    <w:abstractNumId w:val="30"/>
    <w:lvlOverride w:ilvl="0">
      <w:startOverride w:val="1"/>
    </w:lvlOverride>
  </w:num>
  <w:num w:numId="90">
    <w:abstractNumId w:val="30"/>
    <w:lvlOverride w:ilvl="0">
      <w:startOverride w:val="1"/>
    </w:lvlOverride>
  </w:num>
  <w:num w:numId="91">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