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{{EL_SIGNATORY_NAME}}</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72697C" w:rsidRPr="0072697C">
        <w:rPr>
          <w:rFonts w:asciiTheme="minorHAnsi" w:hAnsiTheme="minorHAnsi" w:cstheme="minorHAnsi"/>
          <w:i/>
          <w:iCs/>
          <w:color w:val="FF0000"/>
          <w:sz w:val="20"/>
          <w:highlight w:val="yellow"/>
        </w:rPr>
        <w:t xml:space="preserve"> </w:t>
      </w:r>
      <w:r w:rsidR="0072697C">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r w:rsidR="0072697C" w:rsidRPr="00F97C13">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w:t>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{{CLIENT_LEGAL_NAME_FULL}}</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{{TARGET_DESCRIPTION}}</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{{CHOICE_DEAL_TYPE}}</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{{PROJECT_CODE_NAME}}</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{{CHOICE_REPORT_FORMAT}}</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1A149075" w14:textId="77777777" w:rsidR="00BC769A" w:rsidRDefault="00000000" w:rsidP="00783715">
      <w:r>
        <w:t>{{BLOCK_INDEPENDENCE_START}}</w:t>
      </w:r>
    </w:p>
    <w:p w14:paraId="5A8DEB69"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is mandatory for assurance clients (i.e. audit or review clients) to highlight the required audit independence safeguards. For non-assurance clients, the section below must be deleted since KPMG is not required to demonstrate audit independence for non-assurance clients.</w:t>
      </w:r>
      <w:r w:rsidRPr="005729E3">
        <w:rPr>
          <w:rFonts w:asciiTheme="minorHAnsi" w:hAnsiTheme="minorHAnsi" w:cstheme="minorHAnsi"/>
          <w:i/>
          <w:iCs/>
          <w:color w:val="FF0000"/>
          <w:sz w:val="20"/>
        </w:rPr>
        <w:t>]</w:t>
      </w:r>
    </w:p>
    <w:p w14:paraId="609BF835" w14:textId="77777777" w:rsidR="009E2E80" w:rsidRDefault="009E2E80" w:rsidP="00783715"/>
    <w:p w14:paraId="35F86F59" w14:textId="77777777" w:rsidR="009E2E80" w:rsidRDefault="009E2E80" w:rsidP="00783715"/>
    <w:p w14:paraId="6D917081" w14:textId="77777777" w:rsidR="009E2E80" w:rsidRDefault="009E2E80" w:rsidP="00783715"/>
    <w:p w14:paraId="21F697F8" w14:textId="77777777" w:rsidR="008E3375" w:rsidRPr="00B6487E" w:rsidRDefault="008E3375" w:rsidP="00783715">
      <w:pPr>
        <w:pStyle w:val="BodyText"/>
        <w:spacing w:line="260" w:lineRule="exact"/>
        <w:rPr>
          <w:rFonts w:asciiTheme="minorHAnsi" w:hAnsiTheme="minorHAnsi" w:cstheme="minorHAnsi"/>
          <w:b/>
          <w:bCs/>
          <w:sz w:val="20"/>
        </w:rPr>
      </w:pPr>
      <w:r w:rsidRPr="00B6487E">
        <w:rPr>
          <w:rFonts w:asciiTheme="minorHAnsi" w:hAnsiTheme="minorHAnsi" w:cstheme="minorHAnsi"/>
          <w:b/>
          <w:bCs/>
          <w:sz w:val="20"/>
        </w:rPr>
        <w:lastRenderedPageBreak/>
        <w:t>Independence Considerations</w:t>
      </w:r>
    </w:p>
    <w:p w14:paraId="0C30D92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you are aware, Client is </w:t>
      </w:r>
      <w:r w:rsidR="00200416">
        <w:rPr>
          <w:rFonts w:asciiTheme="minorHAnsi" w:hAnsiTheme="minorHAnsi" w:cstheme="minorHAnsi"/>
          <w:sz w:val="20"/>
        </w:rPr>
        <w:t>{{CHOICE_SEC_STATUS}}</w:t>
      </w:r>
      <w:r w:rsidRPr="008E3375">
        <w:rPr>
          <w:rFonts w:asciiTheme="minorHAnsi" w:hAnsiTheme="minorHAnsi" w:cstheme="minorHAnsi"/>
          <w:sz w:val="20"/>
        </w:rPr>
        <w:t xml:space="preserve"> of KPMG. Therefore, the scope of our work is subject to certain limitations in order to maintain our independence. Accordingly, in this engagement we will not make any recommendation to invest (or not invest) in Target or pursue other opportunities in the market. </w:t>
      </w:r>
    </w:p>
    <w:p w14:paraId="4907F274"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Our reporting will present our objective analysis and commentary based upon the information obtained and will not provide assurance on any investment thesis, business case, or projected financial information you may prepare with respect to your existing business or proposed investment in Target.</w:t>
      </w:r>
    </w:p>
    <w:p w14:paraId="50ED2FF2" w14:textId="77777777" w:rsidR="00BC769A" w:rsidRDefault="00000000" w:rsidP="00783715">
      <w:r>
        <w:t>{{BLOCK_INDEPENDENCE_END}}</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{{EL_SIGNATORY_NAME}}</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{{DATE_COMMENCE}}</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{{DATE_DRAFT_DELIVERY}}</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{{TEAM_PARTNER_NAME}}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{{TEAM_TAX_PARTNER_NAME}}</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{{TEAM_SENIOR_MANAGER_NAME}}</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{{FEE_DISCOUNT_CLAUSE}}</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{{CHOICE_DEAL_TYPE}}</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{{FEE_NET_CLAUSE}}</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{{FEE_FDD_LOW}}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{{FEE_FDD_HIGH}}</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{{FEE_TAX_LOW}}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{{FEE_TAX_HIGH}}</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{{BILLING_ENTITY_NAME}}</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{{EXISTING_SERVICES_DESCRIPTION}}</w:t>
      </w:r>
      <w:r w:rsidRPr="008E3375">
        <w:rPr>
          <w:rFonts w:asciiTheme="minorHAnsi" w:hAnsiTheme="minorHAnsi" w:cstheme="minorHAnsi"/>
          <w:sz w:val="20"/>
        </w:rPr>
        <w:t xml:space="preserve"> to Target </w:t>
      </w:r>
      <w:r w:rsidR="00200416">
        <w:rPr>
          <w:rFonts w:asciiTheme="minorHAnsi" w:hAnsiTheme="minorHAnsi" w:cstheme="minorHAnsi"/>
          <w:sz w:val="20"/>
        </w:rPr>
        <w:t>{{EXISTING_SERVICES_CAVEAT}}</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{{CLIENT_AND_TARGET}}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{{CONFIDENTIALITY_PROCEDURES}}</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{{CLOSING_SENTIMENT}}</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{{CLIENT_LEGAL_NAME_ACCEPTANCE}}</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Gain an understanding of product lines, programs, customers (OEM/tier relationships), and regulatory/quality requirements.</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backlog, program life cycles, and ramp/production cadence.</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manufacturing footprint, capacity constraints, and supply chain dependencies.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revenue and gross margin trends by program, customer, and product line.</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contract structures (long-term agreements, pricing escalators, penalties/claims) and revenue recognition approach.</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customer concentration, order volatility, and backlog conversion assumptions.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Inventory</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inventory/WIP and inquire and comment 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Long-cycle inventory, work-in-process, and slow-moving/obsolete inventory;</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Material price variance, scrap/rework, and yield;</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lead times and risk of shortages; and</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Inventory valuation and reserves.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5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5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0"/>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capex requirements for tooling, equipment, and capacity expansion.</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maintenance capex versus growth capex and related replacement cycles.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capitalized development/tooling costs (if applicable) and impairment considerations.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4"/>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0AEB2A50" w14:textId="77777777" w:rsidR="00572230"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{{GUIDANCE_14}}</w:t>
      </w: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{{CLIENT_CONTACT_NAME}}</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{{PROJECT_CODE_NAME}}</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{{CHOICE_DEAL_TYPE_2}}</w:t>
      </w:r>
      <w:r w:rsidR="00077BF0">
        <w:rPr>
          <w:rFonts w:asciiTheme="minorHAnsi" w:hAnsiTheme="minorHAnsi" w:cstheme="minorHAnsi"/>
          <w:sz w:val="20"/>
        </w:rPr>
        <w:t xml:space="preserve"> </w:t>
      </w:r>
      <w:r w:rsidR="00200416">
        <w:rPr>
          <w:rFonts w:asciiTheme="minorHAnsi" w:hAnsiTheme="minorHAnsi" w:cstheme="minorHAnsi"/>
          <w:sz w:val="20"/>
        </w:rPr>
        <w:t>{{TARGET_DESCRIPTION_DETAIL}}</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{{CLIENT_LEGAL_NAME}}</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57781D96" w14:textId="77777777" w:rsidR="00A82BE6" w:rsidRPr="00727A4C" w:rsidRDefault="00200416" w:rsidP="00783715">
      <w:pPr>
        <w:spacing w:line="260" w:lineRule="atLeast"/>
        <w:ind w:right="360"/>
        <w:rPr>
          <w:rFonts w:cs="Arial"/>
          <w:b/>
          <w:bCs/>
          <w:sz w:val="20"/>
        </w:rPr>
      </w:pPr>
      <w:r>
        <w:rPr>
          <w:rFonts w:cs="Arial"/>
          <w:b/>
          <w:bCs/>
          <w:sz w:val="20"/>
        </w:rPr>
        <w:lastRenderedPageBreak/>
        <w:t>{{GUIDANCE_15}}</w:t>
      </w: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{{RECIPIENT_SIGNATORY_NAME}}</w:t>
      </w:r>
    </w:p>
    <w:p w14:paraId="15D401D2" w14:textId="77777777" w:rsidR="00D62D05" w:rsidRPr="00727A4C" w:rsidRDefault="00200416" w:rsidP="00783715">
      <w:pPr>
        <w:spacing w:line="260" w:lineRule="atLeast"/>
        <w:ind w:right="360"/>
        <w:rPr>
          <w:rFonts w:cs="Arial"/>
          <w:sz w:val="20"/>
        </w:rPr>
      </w:pPr>
      <w:r>
        <w:rPr>
          <w:rFonts w:cs="Arial"/>
          <w:sz w:val="20"/>
        </w:rPr>
        <w:t>{{RECIPIENT_LEGAL_NAME}}</w:t>
      </w:r>
    </w:p>
    <w:p w14:paraId="01569103" w14:textId="77777777" w:rsidR="00D62D05" w:rsidRPr="00727A4C" w:rsidRDefault="00200416" w:rsidP="00783715">
      <w:pPr>
        <w:spacing w:line="260" w:lineRule="atLeast"/>
        <w:ind w:right="360"/>
        <w:rPr>
          <w:rFonts w:cs="Arial"/>
          <w:sz w:val="20"/>
        </w:rPr>
      </w:pPr>
      <w:r>
        <w:rPr>
          <w:rFonts w:cs="Arial"/>
          <w:sz w:val="20"/>
        </w:rPr>
        <w:t>{{CLIENT_ADDRESS_LINE_1}}</w:t>
      </w:r>
    </w:p>
    <w:p w14:paraId="7105CAA5" w14:textId="77777777" w:rsidR="00D62D05" w:rsidRPr="00727A4C" w:rsidRDefault="00200416" w:rsidP="00783715">
      <w:pPr>
        <w:spacing w:line="260" w:lineRule="atLeast"/>
        <w:ind w:right="360"/>
        <w:rPr>
          <w:rFonts w:cs="Arial"/>
          <w:sz w:val="20"/>
        </w:rPr>
      </w:pPr>
      <w:r>
        <w:rPr>
          <w:rFonts w:cs="Arial"/>
          <w:sz w:val="20"/>
        </w:rPr>
        <w:t>{{CLIENT_ADDRESS_LINE_2}}</w:t>
      </w:r>
    </w:p>
    <w:p w14:paraId="063C22BE" w14:textId="77777777" w:rsidR="00D62D05" w:rsidRDefault="00200416" w:rsidP="00783715">
      <w:pPr>
        <w:spacing w:line="260" w:lineRule="atLeast"/>
        <w:ind w:right="360"/>
        <w:rPr>
          <w:rFonts w:cs="Arial"/>
          <w:sz w:val="20"/>
        </w:rPr>
      </w:pPr>
      <w:r>
        <w:rPr>
          <w:rFonts w:cs="Arial"/>
          <w:sz w:val="20"/>
        </w:rPr>
        <w:t>{{CLIENT_ADDRESS_LINE_3}}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{{RELEASE_DATE}}</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{{PROJECT_CODE_NAME}}</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{{CHOICE_DEAL_TYPE_3}}</w:t>
      </w:r>
      <w:r w:rsidR="00C37147">
        <w:rPr>
          <w:rFonts w:ascii="Arial" w:hAnsi="Arial" w:cs="Arial"/>
          <w:sz w:val="20"/>
        </w:rPr>
        <w:t xml:space="preserve"> </w:t>
      </w:r>
      <w:r w:rsidR="00200416">
        <w:rPr>
          <w:rFonts w:ascii="Arial" w:hAnsi="Arial" w:cs="Arial"/>
          <w:sz w:val="20"/>
        </w:rPr>
        <w:t>{{TARGET_LEGAL_NAME_FULL}}</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{{RELEASE_DELIVERABLES_DESC}}</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{{RECIPIENT_LEGAL_NAME}}</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{{CLIENT_NAME_SHORT}}</w:t>
    </w:r>
  </w:p>
  <w:p w14:paraId="1D70539D" w14:textId="77777777" w:rsidR="00106DAC" w:rsidRDefault="00200416" w:rsidP="00D007CC">
    <w:pPr>
      <w:pStyle w:val="Header"/>
      <w:jc w:val="right"/>
    </w:pPr>
    <w:r>
      <w:t>{{PROJECT_NAME_HEADER}}</w:t>
    </w:r>
  </w:p>
  <w:p w14:paraId="79447344" w14:textId="77777777" w:rsidR="00106DAC" w:rsidRDefault="00200416"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0"/>
    <w:lvlOverride w:ilvl="0">
      <w:startOverride w:val="1"/>
    </w:lvlOverride>
  </w:num>
  <w:num w:numId="52">
    <w:abstractNumId w:val="34"/>
    <w:lvlOverride w:ilvl="0">
      <w:startOverride w:val="1"/>
    </w:lvlOverride>
  </w:num>
  <w:num w:numId="53">
    <w:abstractNumId w:val="30"/>
    <w:lvlOverride w:ilvl="0">
      <w:startOverride w:val="1"/>
    </w:lvlOverride>
  </w:num>
  <w:num w:numId="54">
    <w:abstractNumId w:val="34"/>
    <w:lvlOverride w:ilvl="0">
      <w:startOverride w:val="1"/>
    </w:lvlOverride>
  </w:num>
  <w:num w:numId="55">
    <w:abstractNumId w:val="30"/>
    <w:lvlOverride w:ilvl="0">
      <w:startOverride w:val="1"/>
    </w:lvlOverride>
  </w:num>
  <w:num w:numId="56">
    <w:abstractNumId w:val="34"/>
    <w:lvlOverride w:ilvl="0">
      <w:startOverride w:val="1"/>
    </w:lvlOverride>
  </w:num>
  <w:num w:numId="57">
    <w:abstractNumId w:val="30"/>
    <w:lvlOverride w:ilvl="0">
      <w:startOverride w:val="1"/>
    </w:lvlOverride>
  </w:num>
  <w:num w:numId="58">
    <w:abstractNumId w:val="34"/>
    <w:lvlOverride w:ilvl="0">
      <w:startOverride w:val="1"/>
    </w:lvlOverride>
  </w:num>
  <w:num w:numId="59">
    <w:abstractNumId w:val="30"/>
    <w:lvlOverride w:ilvl="0">
      <w:startOverride w:val="1"/>
    </w:lvlOverride>
  </w:num>
  <w:num w:numId="60">
    <w:abstractNumId w:val="34"/>
    <w:lvlOverride w:ilvl="0">
      <w:startOverride w:val="1"/>
    </w:lvlOverride>
  </w:num>
  <w:num w:numId="61">
    <w:abstractNumId w:val="30"/>
    <w:lvlOverride w:ilvl="0">
      <w:startOverride w:val="1"/>
    </w:lvlOverride>
  </w:num>
  <w:num w:numId="62">
    <w:abstractNumId w:val="34"/>
    <w:lvlOverride w:ilvl="0">
      <w:startOverride w:val="1"/>
    </w:lvlOverride>
  </w:num>
  <w:num w:numId="63">
    <w:abstractNumId w:val="30"/>
    <w:lvlOverride w:ilvl="0">
      <w:startOverride w:val="1"/>
    </w:lvlOverride>
  </w:num>
  <w:num w:numId="64">
    <w:abstractNumId w:val="34"/>
    <w:lvlOverride w:ilvl="0">
      <w:startOverride w:val="1"/>
    </w:lvlOverride>
  </w:num>
  <w:num w:numId="65">
    <w:abstractNumId w:val="30"/>
    <w:lvlOverride w:ilvl="0">
      <w:startOverride w:val="1"/>
    </w:lvlOverride>
  </w:num>
  <w:num w:numId="66">
    <w:abstractNumId w:val="34"/>
    <w:lvlOverride w:ilvl="0">
      <w:startOverride w:val="1"/>
    </w:lvlOverride>
  </w:num>
  <w:num w:numId="67">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