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72697C" w:rsidRPr="0072697C">
        <w:rPr>
          <w:rFonts w:asciiTheme="minorHAnsi" w:hAnsiTheme="minorHAnsi" w:cstheme="minorHAnsi"/>
          <w:i/>
          <w:iCs/>
          <w:color w:val="FF0000"/>
          <w:sz w:val="20"/>
          <w:highlight w:val="yellow"/>
        </w:rPr>
        <w:t xml:space="preserve"> </w:t>
      </w:r>
      <w:r w:rsidR="0072697C">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r w:rsidR="0072697C" w:rsidRPr="00F97C13">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the Company's officers and management in order to develop an understanding of the Company, including its: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History, organization structure, proposed transaction perimeter and management reporting relationships;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Start-up costs, capital expenditures, and status of operations in significant sites/geographies.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transactions;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Production sites/ lines capacity, utilization rates;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Details of pricing methodology; key contractual terms with key customers (incl. ability to pass cost increases to customers);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suppliers, significant dependencies; key contractual terms; price volatility for key materials; inventory levels and turnover;</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customer segments, customer concentration and regions served;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performance metrics used by the Company's management;</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Employees compensation and benefits by major categories;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Financial reporting framework and information systems; monthly/annual cut-off process;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accounting policies including: revenue recognition, inventory valuation methodologies, costing methodology, warranties, provisions, management estimates, etc.</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available information and discuss with Target management in order to develop an understanding of Target, including its: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Inter-group operations and allocation of corporate overheads;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Production lines capacity, utilization, scrap rates;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products and services; degree of customization; pricing methodology (including volume discounts/ rebates); key contractual terms (incl. ability to pass cost increases to customers);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Research activities and new product development initiatives;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suppliers, significant dependencies; key contractual terms; price volatility for key raw materials (resin, etc.);</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Marketing and distribution channels;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performance metrics used by Target's management;</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Financial reporting framework and information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accounting policies including: revenue recognition, inventory valuation methodologies, costing methodology, sales returns, rebates, provisions, management estimates, etc.</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background information of Target, including its: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Organizational structure, ownership and management reporting relationships;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products, customer segments and regions served;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Financial reporting and information systems (including process, timing, structure of financial reporting, and interaction with the information/accounting systems).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them with Target's management to gain an understanding of accounting policies and practices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Reporting methodology;</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Frequency of standard cost updates and procedures for analyzing variances;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Recent or contemplated changes in accounting principles.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potential adjustments to reported earnings before interest, income taxes, depreciation, and amortization (EBITDA) by considering the impact of:</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acquisitions (for example: acquired businesses);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supply chain disruptions, if any;</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research and development expenditures and capitalization policies;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timing of true-ups and other adjustments made less frequently than monthly;</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commodity/raw material cost fluctuations and any associated hedging programs;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key supplier cost arrangements, including assessment of hedged versus market prices and illustrative impacts to EBITDA;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lease renewal.</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and gross-margin trends by plant, product category/SKU, customer, and channel, including concentration and mix effects.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Price-volume-mix and input-cost pass-through dynamics, including major raw-material and freight impacts on margins.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Compensation and benefits analysis by function (including headcount, incentive compensation, and key labor-cost drivers).</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Occupancy, logistics, and manufacturing support cost trends.</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Research and development and product quality/safety costs, including capitalization impacts where applicable.</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Selling, general, and administrative cost profile, including fixed-versus-variable cost behavior.</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Payroll-related funding and cash timing impacts relevant to working capital normalization and peg setting.</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Inventory composition and turnover by major product/category group.</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Aging profile, slow-moving/excess/obsolete exposure, and reserve methodology.</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Vendor allowances/rebates and purchasing practices that affect inventory valuation and margins.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Prepaids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Composition and trend analysis of significant prepaid balances.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Timing of cash outflows versus expense recognition for material prepaid categories.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Accrued liabilities profile (including payroll, bonuses/incentives, and other significant operating accruals).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Fixed-asset continuity and significant additions/disposals.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Near-term required capex and deferred capex backlog,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Earn-out obligations and other contingent consideration from historical acquisitions,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Related Parties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and summarize related party transactions including:</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Nature and extent of related party transactions; and</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pricing for arrangements with related parties.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0"/>
    <w:lvlOverride w:ilvl="0">
      <w:startOverride w:val="1"/>
    </w:lvlOverride>
  </w:num>
  <w:num w:numId="49">
    <w:abstractNumId w:val="30"/>
    <w:lvlOverride w:ilvl="0">
      <w:startOverride w:val="1"/>
    </w:lvlOverride>
  </w:num>
  <w:num w:numId="50">
    <w:abstractNumId w:val="34"/>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4"/>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0"/>
    <w:lvlOverride w:ilvl="0">
      <w:startOverride w:val="1"/>
    </w:lvlOverride>
  </w:num>
  <w:num w:numId="71">
    <w:abstractNumId w:val="34"/>
    <w:lvlOverride w:ilvl="0">
      <w:startOverride w:val="1"/>
    </w:lvlOverride>
  </w:num>
  <w:num w:numId="72">
    <w:abstractNumId w:val="30"/>
    <w:lvlOverride w:ilvl="0">
      <w:startOverride w:val="1"/>
    </w:lvlOverride>
  </w:num>
  <w:num w:numId="73">
    <w:abstractNumId w:val="34"/>
    <w:lvlOverride w:ilvl="0">
      <w:startOverride w:val="1"/>
    </w:lvlOverride>
  </w:num>
  <w:num w:numId="74">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