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transportation revenue and margins and inquire about:</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profitability by customer, customer type, and route/trip type;</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Volume and utilization KPIs (for example: trip counts/load factors), including seasonality effects;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Transportation-specific cut-off timing considerations and non-recurring revenue components.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transportation operating-cost drivers, including: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Driver/labour costs and benefits;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Fuel, maintenance, repair, and other fleet operating costs;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Fixed versus variable cost behavior across key expense categories.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transportation-specific working capital considerations,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Seasonality effects and cash-management procedures;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Trade-ratio trends and timing effects around receivables/payables;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Normalization of significant non-recurring working capital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transportation inventory balances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Composition (for example: fuel, parts, supplies, and finished goods where applicable);</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 and turnover/aging;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Provisioning for obsolete or slow-moving inventory.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transportation capex requirements,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Fleet replacement cycle and related capital intensity;</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Unit utilization and operating impact on replacement timing;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Deferred/planned capex and impairment considerations.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transportation-specific debt and debt-like items, including letters of credit, capital vendor payables, and fleet-related financing obligations.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0"/>
    <w:lvlOverride w:ilvl="0">
      <w:startOverride w:val="1"/>
    </w:lvlOverride>
  </w:num>
  <w:num w:numId="68">
    <w:abstractNumId w:val="34"/>
    <w:lvlOverride w:ilvl="0">
      <w:startOverride w:val="1"/>
    </w:lvlOverride>
  </w:num>
  <w:num w:numId="69">
    <w:abstractNumId w:val="30"/>
    <w:lvlOverride w:ilvl="0">
      <w:startOverride w:val="1"/>
    </w:lvlOverride>
  </w:num>
  <w:num w:numId="70">
    <w:abstractNumId w:val="34"/>
    <w:lvlOverride w:ilvl="0">
      <w:startOverride w:val="1"/>
    </w:lvlOverride>
  </w:num>
  <w:num w:numId="71">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